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right="540" w:rightChars="257" w:firstLine="240" w:firstLineChars="1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附：报价函格式</w:t>
      </w:r>
      <w:r>
        <w:rPr>
          <w:rFonts w:hint="eastAsia" w:ascii="宋体" w:hAnsi="宋体"/>
          <w:color w:val="auto"/>
          <w:sz w:val="24"/>
          <w:lang w:eastAsia="zh-CN"/>
        </w:rPr>
        <w:t>（含采购需求明细）</w:t>
      </w:r>
      <w:r>
        <w:rPr>
          <w:rFonts w:hint="eastAsia" w:ascii="宋体" w:hAnsi="宋体"/>
          <w:color w:val="auto"/>
          <w:sz w:val="24"/>
        </w:rPr>
        <w:t xml:space="preserve">                              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            </w:t>
      </w:r>
      <w:r>
        <w:rPr>
          <w:rFonts w:hint="eastAsia" w:ascii="宋体" w:hAnsi="宋体"/>
          <w:color w:val="auto"/>
          <w:sz w:val="24"/>
        </w:rPr>
        <w:t xml:space="preserve">  </w:t>
      </w:r>
      <w:r>
        <w:rPr>
          <w:rFonts w:ascii="宋体" w:hAnsi="宋体"/>
          <w:bCs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</w:rPr>
        <w:t>单位: 元（人民币）</w:t>
      </w:r>
    </w:p>
    <w:tbl>
      <w:tblPr>
        <w:tblStyle w:val="5"/>
        <w:tblW w:w="140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140"/>
        <w:gridCol w:w="7812"/>
        <w:gridCol w:w="885"/>
        <w:gridCol w:w="780"/>
        <w:gridCol w:w="1320"/>
        <w:gridCol w:w="1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0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湄洲岛植物园监控采购安装项目报价函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 备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规格参数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400万像素全彩网络摄像机（核心产品）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（1）具有400万像素CMOS传感器，内置补光灯。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（2）最低照度彩色≤0.0004lx，白天或夜晚均可输出彩色视频图像。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（3）最大分辨率≥2560x1440。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（4）需具有≥20路取流路数能力，以满足更多用户同时在线访问摄像机视频。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（5）需支持2码流技术，可同时输出2路码流，主码流最高2560x1440@30fps，子码流704x576@30fps。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（6）支持H.264、H.265、MJPEG视频编码格式，且具有HighProfile编码能力。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（7）信噪比不小于55dB。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（8）需支持≥8行字符显示，字体颜色可设置，需具有图片叠加到视频画面功能。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（9）需具备人脸检测、区域入侵检测、越界检测、虚焦检测、进入区域、离开区域、徘徊、人员聚集、逆行、场景变更等功能。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（10）需具有电子防抖、ROI感兴趣区域、SVC可伸缩编码、自动增益、背光补偿、数字降噪、强光抑制、走廊模式、视频水印等功能。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（11）摄像机能够在-30~60摄氏度，湿度小于93%环境下稳定工作。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（12）不低于IP67防尘防水等级。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（13）需支持DC12V供电，且在不小于DC12V±30%范围内变化时可以正常工作。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（14）设备工作状态时，支持空气放电≥8kV，接触放电≥6kV，通讯端口支持≥6kV峰值电压。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（15）同一静止场景相同图像质量下，设备在H.265编码方式时，开启智能编码功能和不开启智能编码相比，码率节约1/2。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黑光人像设备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1.具有≥1/1.8""靶面尺寸。内置GPU芯片。像元尺寸≥2.9um×2.9um。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2.内置≥两个图像传感器，分别输出黑白及彩色图像，可对视频图像进行融合输出。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3.内置混合补光灯，可对红外灯及白光灯功率进行调节。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4.最低照度彩色≤0.0002 lx，黑白≤0.0001 lx。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5.支持H.264、H.265、MJPEG视频编码格式，且具有High Profile编码能力。分辨率设置为2688×1520@25fps，分辨力≥1500TVL。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6.需支持五码流技术，主码流分辨率≥2688x1520@25fps，子码流≥704x576@25fps，第三码流≥1920x1080@25fps，第四码流≥704x576@25fps，第五码流≥704x576@25fps。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7.支持人脸抓拍、人体检测、人脸人体检测三种模式。支持检出两眼瞳距20像素点以上的人脸图片。支持单场景同时检出≥30张人脸图片，并支持面部跟踪。人脸检出率≥99%。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支持捕获、识别新能源汽车专用号牌。可识别≥170种车辆品牌。可识别≥3600种车辆子品牌。可识别≥11种车辆颜色。可识别≥10种车型，包括轿车、小型轿车、微型轿车、客车、中型客车、面包车、大货车、小货车、SUV-MPV、皮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9.采用金属外壳。需支持≥IP67防尘防水。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10.需支持本地SD卡存储，最大支持≥512G，并支持存储卡可使用时长显示。支持对存储卡进行读写锁定，锁定后的存储卡在移动终端需要密码才能访问。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11.支持固件安全检验功能，摄像机uboot应采用加密存储，通过离线烧写存储器方式写入的uboot执行程序，不能被硬件微引导程序加载执行。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12.支持硬件微引导程序、uboot、OS、应用软件逐级校验功能，非法篡改的uboot、OS、应用软件固件包，不能通过命令行、浏览器、客户端方式进行升级。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在IE浏览器下，具有设备重启和布防动态报警数据感知与记录功能，布防动态报警数据包括异常掉线、历史布防、实时布防3种类型；可记录报警的开始时间、结束时间、布防类型、报警链路地址、端口、链路续传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14.支持通过IE浏览器设置登录超时时间，当登录后无操作时长达到设置阈值后，设备自动退出并重新进入登录界面。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球型摄像机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1.支持深度学习算法，提供精准的人车分类侦测、报警、联动跟踪；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2.支持声光警戒：报警联动白光闪烁报警和声音报警，声音内容可选；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3.支持区域入侵侦测、越界侦测、进入区域侦测和离开区域侦等智能侦测并联动跟踪；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4.支持切换为人脸抓拍模式，最大同时抓拍5张人脸；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5.内置扬声器：功率5w；30m不低于60dB；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6.采用高效补光阵列，低功耗，红外补光150m；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7.内置加热玻璃，有效除雾；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8.传感器类型: 1/2.8＂ progressive scan CMOS；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9.最低照度: 彩色：0.005Lux @ (F1.6，AGC ON)；黑白：0.001Lux @(F1.6，AGC ON) ；0 Lux with IR；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10.宽动态: 120dB超宽动态；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11.焦距: 4.8-110mm, 23倍光学变倍；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12.视场角: 57.6°-2.7°(广角-望远)；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13.水平范围: 360°；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14.垂直范围: -15°-90°(自动翻转)；；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15.水平速度: 水平键控速度：0.1°-160°/s,速度可设;水平预置点速度：240°/s；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16.垂直速度: 垂直键控速度：0.1°-120°/s,速度可设;垂直预置点速度：200°/s。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16路硬盘录像机（内含2块6TB硬盘）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1.具有2个HDMI接口、1个VGA接口、2个RJ45网络接口、2个USB2.0接口、1个USB3.0接口、1个RS232接口、1个RS485接口、1个eSata接口、1路音频输入接口、1路音频输出接口；16路报警输入接口、9路报警输出接口、具有2路直流DC 12V输出接口（其中1路为Ctrl报警输出口）；可内置5个SATA接口硬盘；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2.可接入1T、2T、3T、4T、6T、8T、10T、12TB、14TB、16TB、18TB容量的SATA接口硬盘；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3.可接入16路分辨率为1920×1080的视频图像；支持最大接入带宽 160Mbps，最大存储带宽 160Mbps，最大转发带宽160Mbps，最大回放带宽160Mbps，开启视频流智能分析后NVR网络带宽不应降低；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4.预览分辨率支持：8160×3616、8208×3072、8160×2304、6912×2800、5760×1696、5520×2400、4096×2160、4000×3000、3072×3072、4096×2160、3840×2160、2560×2560、2560×1440、1920×1080 、1280×960、1280×720、704×576；帧率均为25帧/秒；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5.可同时显示输出12路H.265编码、30fps、1920×1080格式的视频图像，或同时输出3路 H.265编码、25fps、4096×2160或者3840×2160格式的视频图像，或同时解码2路 H.265编码、20fps、4000×3000格式的视频图像。输出1路H.265编码、25fps、8160×3072格式的视频图像；开启视频流智能分析，NVR解码性能不会降低；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6.支持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不少于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16个人脸库，库容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不少于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5万张人脸图片；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7.支持2路视频流人脸识别，支持8路图片流人脸识别。支持10张/秒人脸比对报警，比对结果显示包括人脸比对成功、人脸比对失败和陌生人报警；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8.人脸库建模成功率不低于99.99%；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9.采用单人戴口罩正脸依次循环通行进行试验，试验人员数量不小于5人，通过速度不小于1m/s，人员通过间隔时间不大于1s，戴口罩人脸检出率不低于99%；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10.企业技术要求：支持导入不同的语音文件，支持播报语音文件；支持人脸、周界、车辆检测、视频结构化的报警触发时联动语音播报；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11.具有存储安全保障功能，当存储压力过高或硬盘出现性能不足时，可优先录像业务存储。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摄像机电源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12DC/2A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双绞线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CAT5e，超五类国标，分支信号线，每个探头平均</w:t>
            </w:r>
            <w:r>
              <w:rPr>
                <w:rStyle w:val="7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电源线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RVV2*1.0，国标，分支电源线每个探头平均80米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主干光电配线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4芯单模光纤+RVV2*1.0电源综合线，由接入节点箱分至各分支机箱，每段平均配线200米。铠装线缆，不套设PVC管.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配管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PVC20中型管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破路及修复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1.根据现场实际开挖水泥路面或三类土、绿化带开挖，开挖深度≥300mm，宽度≥200mm；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2.开挖水泥路面并敷设管道后，管槽需使用原路面材质恢复；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3.开挖并进行管道敷设后，管槽需使用原土恢复，若为绿化带开挖，需做好植被恢复工作，并做好植物存活养护。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8口交换机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8个10/100/1000Mbps自适应电口，≥1个10/100/1000Mbps上联电口，交换机容量≥36Gbps，包转发率≥26.78Mpps，非网管型交换机。部分位置接入点较多时，可选用千兆16口交换机。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5口交换机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5个10/100/1000Mbps自适应电口，非网管型交换机。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分支防腐机箱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沿海专用防盐防腐不锈钢300*400*150室外机箱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小排插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五孔三位小排插，10A带线，分支机箱内配置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分支空开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10A2P空开。带钢制导轨，分支机箱内配置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千兆，单模单纤，1X9模块，≥3km，1550发/1310收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网桥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5KM工业级对射网桥，≥1光1电端口配置，百兆传输带宽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监控支架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监控支架根据现场实际情况选用。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高清全彩在无遮挡情况下采用：钢制喷涂支架，支架长度在30-65CM。如果现场有遮挡情况，则长度根据现场情况定制。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水晶头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AMP超五类RJ45头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电源头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DC线，纯铜≥30cm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监控辅材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弯头、缠绕带、防火泥、接线子、扎带、螺钉、抱箍、专用取电头、架空铁丝等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防腐接入节点设备箱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沿海专用防盐防腐不锈钢支架监控接入节点箱。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1.外部尺寸：宽×深×高=500*700*200mm监控接入节点箱，采用钢板热镀锌后整体喷漆；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2.箱体板材厚度≥1.0mm；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大排插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五孔八位大排插，10A带线，接入节点设备箱内配置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接入节点空开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10A2P空开。带钢制导轨，接入节点设备箱内配置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监控杆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3.5米监控杆，镀锌钢管直径不小于85mm。安装法兰300*300mm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集成费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设备安装、调试、三年上岛维护费用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网络费用</w:t>
            </w:r>
          </w:p>
        </w:tc>
        <w:tc>
          <w:tcPr>
            <w:tcW w:w="7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网络节点光纤接入费用，服务期3年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项目合计：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color w:val="auto"/>
          <w:sz w:val="24"/>
        </w:rPr>
      </w:pPr>
    </w:p>
    <w:p>
      <w:pPr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报价总计（</w:t>
      </w:r>
      <w:r>
        <w:rPr>
          <w:rFonts w:hint="eastAsia" w:ascii="宋体" w:hAnsi="宋体"/>
          <w:color w:val="auto"/>
          <w:sz w:val="24"/>
          <w:lang w:eastAsia="zh-CN"/>
        </w:rPr>
        <w:t>必填</w:t>
      </w:r>
      <w:r>
        <w:rPr>
          <w:rFonts w:hint="eastAsia" w:ascii="宋体" w:hAnsi="宋体"/>
          <w:color w:val="auto"/>
          <w:sz w:val="24"/>
        </w:rPr>
        <w:t xml:space="preserve">）： </w:t>
      </w:r>
    </w:p>
    <w:p>
      <w:pPr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报价单位（</w:t>
      </w:r>
      <w:r>
        <w:rPr>
          <w:rFonts w:hint="eastAsia" w:ascii="宋体" w:hAnsi="宋体"/>
          <w:color w:val="auto"/>
          <w:sz w:val="24"/>
          <w:lang w:eastAsia="zh-CN"/>
        </w:rPr>
        <w:t>填写单位并</w:t>
      </w:r>
      <w:r>
        <w:rPr>
          <w:rFonts w:hint="eastAsia" w:ascii="宋体" w:hAnsi="宋体"/>
          <w:color w:val="auto"/>
          <w:sz w:val="24"/>
        </w:rPr>
        <w:t xml:space="preserve">盖章）：  </w:t>
      </w:r>
    </w:p>
    <w:p>
      <w:pPr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详细地址（</w:t>
      </w:r>
      <w:r>
        <w:rPr>
          <w:rFonts w:hint="eastAsia" w:ascii="宋体" w:hAnsi="宋体"/>
          <w:color w:val="auto"/>
          <w:sz w:val="24"/>
          <w:lang w:eastAsia="zh-CN"/>
        </w:rPr>
        <w:t>必填</w:t>
      </w:r>
      <w:r>
        <w:rPr>
          <w:rFonts w:hint="eastAsia" w:ascii="宋体" w:hAnsi="宋体"/>
          <w:color w:val="auto"/>
          <w:sz w:val="24"/>
        </w:rPr>
        <w:t>）:</w:t>
      </w:r>
    </w:p>
    <w:p>
      <w:pPr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联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4"/>
        </w:rPr>
        <w:t>系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4"/>
        </w:rPr>
        <w:t xml:space="preserve">人（必填）： </w:t>
      </w:r>
    </w:p>
    <w:p>
      <w:pPr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电话号码（必填）： </w:t>
      </w:r>
    </w:p>
    <w:p>
      <w:pPr>
        <w:spacing w:line="360" w:lineRule="auto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日    期（必填）：                                  </w:t>
      </w:r>
    </w:p>
    <w:p/>
    <w:sectPr>
      <w:pgSz w:w="16838" w:h="11906" w:orient="landscape"/>
      <w:pgMar w:top="1191" w:right="1104" w:bottom="1191" w:left="1247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mNDk5OTAxMTYzYTE1YmI5NTBjODEzZTMxMTlmZGMifQ=="/>
  </w:docVars>
  <w:rsids>
    <w:rsidRoot w:val="3CA3332A"/>
    <w:rsid w:val="3CA3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 w:afterLines="0" w:line="240" w:lineRule="auto"/>
      <w:ind w:firstLine="420" w:firstLineChars="100"/>
    </w:pPr>
    <w:rPr>
      <w:sz w:val="21"/>
    </w:rPr>
  </w:style>
  <w:style w:type="paragraph" w:styleId="3">
    <w:name w:val="Body Text"/>
    <w:basedOn w:val="1"/>
    <w:next w:val="1"/>
    <w:qFormat/>
    <w:uiPriority w:val="99"/>
    <w:pPr>
      <w:spacing w:line="360" w:lineRule="auto"/>
    </w:pPr>
    <w:rPr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9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2024-02-21T07:08:00Z</dcterms:created>
  <dc:creator>Administrator</dc:creator>
  <cp:lastModifiedBy>Administrator</cp:lastModifiedBy>
  <dcterms:modified xsi:type="dcterms:W3CDTF">2024-02-21T07:08:24Z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7E4008A93AE54A51BBB134570C5BF7C5_11</vt:lpwstr>
  </property>
</Properties>
</file>