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keepNext w:val="0"/>
        <w:keepLines w:val="0"/>
        <w:widowControl/>
        <w:suppressLineNumbers w:val="0"/>
        <w:spacing w:before="75" w:beforeAutospacing="0" w:after="75" w:afterAutospacing="0"/>
        <w:ind w:left="0" w:right="0" w:firstLine="0"/>
        <w:jc w:val="center"/>
        <w:rPr>
          <w:rStyle w:val="22"/>
          <w:rFonts w:ascii="宋体" w:hAnsi="宋体" w:eastAsia="宋体" w:cs="宋体"/>
          <w:color w:val="auto"/>
          <w:spacing w:val="0"/>
          <w:sz w:val="72"/>
          <w:szCs w:val="72"/>
          <w:highlight w:val="none"/>
        </w:rPr>
      </w:pP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72"/>
          <w:szCs w:val="72"/>
          <w:highlight w:val="none"/>
        </w:rPr>
        <w:t>货物和服务项目</w:t>
      </w: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72"/>
          <w:szCs w:val="72"/>
          <w:highlight w:val="none"/>
        </w:rPr>
      </w:pPr>
      <w:r>
        <w:rPr>
          <w:rStyle w:val="22"/>
          <w:rFonts w:hint="eastAsia" w:ascii="宋体" w:hAnsi="宋体" w:eastAsia="宋体" w:cs="宋体"/>
          <w:color w:val="auto"/>
          <w:spacing w:val="0"/>
          <w:sz w:val="72"/>
          <w:szCs w:val="72"/>
          <w:highlight w:val="none"/>
        </w:rPr>
        <w:t>公开招标文件</w:t>
      </w: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72"/>
          <w:szCs w:val="72"/>
          <w:highlight w:val="none"/>
        </w:rPr>
      </w:pPr>
    </w:p>
    <w:p>
      <w:pPr>
        <w:pStyle w:val="16"/>
        <w:keepNext w:val="0"/>
        <w:keepLines w:val="0"/>
        <w:widowControl/>
        <w:suppressLineNumbers w:val="0"/>
        <w:spacing w:before="75" w:beforeAutospacing="0" w:after="75" w:afterAutospacing="0"/>
        <w:ind w:left="0" w:right="0" w:firstLine="0"/>
        <w:jc w:val="center"/>
        <w:rPr>
          <w:color w:val="auto"/>
          <w:spacing w:val="0"/>
          <w:sz w:val="24"/>
          <w:szCs w:val="24"/>
          <w:highlight w:val="none"/>
        </w:rPr>
      </w:pPr>
      <w:r>
        <w:rPr>
          <w:rFonts w:hint="eastAsia"/>
          <w:b/>
          <w:bCs/>
          <w:color w:val="auto"/>
          <w:sz w:val="32"/>
          <w:szCs w:val="32"/>
          <w:highlight w:val="none"/>
          <w:lang w:val="en-US" w:eastAsia="zh-CN"/>
        </w:rPr>
        <w:t xml:space="preserve"> </w:t>
      </w: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spacing w:val="0"/>
          <w:sz w:val="24"/>
          <w:szCs w:val="24"/>
          <w:highlight w:val="none"/>
        </w:rPr>
      </w:pPr>
    </w:p>
    <w:p>
      <w:pPr>
        <w:pStyle w:val="16"/>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36"/>
          <w:szCs w:val="36"/>
          <w:highlight w:val="none"/>
        </w:rPr>
        <w:t> </w:t>
      </w:r>
    </w:p>
    <w:p>
      <w:pPr>
        <w:pStyle w:val="16"/>
        <w:keepNext w:val="0"/>
        <w:keepLines w:val="0"/>
        <w:widowControl/>
        <w:suppressLineNumbers w:val="0"/>
        <w:spacing w:before="75" w:beforeAutospacing="0" w:after="75" w:afterAutospacing="0"/>
        <w:ind w:left="0" w:right="0" w:firstLine="1807" w:firstLineChars="600"/>
        <w:rPr>
          <w:rFonts w:hint="eastAsia" w:eastAsia="宋体"/>
          <w:color w:val="auto"/>
          <w:highlight w:val="none"/>
          <w:lang w:eastAsia="zh-CN"/>
        </w:rPr>
      </w:pPr>
      <w:r>
        <w:rPr>
          <w:rStyle w:val="22"/>
          <w:rFonts w:hint="eastAsia" w:ascii="宋体" w:hAnsi="宋体" w:eastAsia="宋体" w:cs="宋体"/>
          <w:color w:val="auto"/>
          <w:spacing w:val="0"/>
          <w:sz w:val="30"/>
          <w:szCs w:val="30"/>
          <w:highlight w:val="none"/>
        </w:rPr>
        <w:t>项目名称：</w:t>
      </w:r>
      <w:r>
        <w:rPr>
          <w:rStyle w:val="22"/>
          <w:rFonts w:hint="eastAsia" w:ascii="宋体" w:hAnsi="宋体" w:cs="宋体"/>
          <w:b w:val="0"/>
          <w:bCs/>
          <w:color w:val="auto"/>
          <w:spacing w:val="0"/>
          <w:sz w:val="30"/>
          <w:szCs w:val="30"/>
          <w:highlight w:val="none"/>
          <w:lang w:eastAsia="zh-CN"/>
        </w:rPr>
        <w:t>湄洲岛园林绿化养护洒水车采购</w:t>
      </w:r>
    </w:p>
    <w:p>
      <w:pPr>
        <w:pStyle w:val="16"/>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30"/>
          <w:szCs w:val="30"/>
          <w:highlight w:val="none"/>
          <w:lang w:eastAsia="zh-CN"/>
        </w:rPr>
      </w:pPr>
      <w:r>
        <w:rPr>
          <w:rStyle w:val="22"/>
          <w:rFonts w:hint="eastAsia" w:ascii="宋体" w:hAnsi="宋体" w:cs="宋体"/>
          <w:color w:val="auto"/>
          <w:spacing w:val="0"/>
          <w:sz w:val="30"/>
          <w:szCs w:val="30"/>
          <w:highlight w:val="none"/>
          <w:lang w:val="en-US" w:eastAsia="zh-CN"/>
        </w:rPr>
        <w:t xml:space="preserve">             </w:t>
      </w:r>
      <w:r>
        <w:rPr>
          <w:rStyle w:val="22"/>
          <w:rFonts w:hint="eastAsia" w:ascii="宋体" w:hAnsi="宋体" w:eastAsia="宋体" w:cs="宋体"/>
          <w:color w:val="auto"/>
          <w:spacing w:val="0"/>
          <w:sz w:val="30"/>
          <w:szCs w:val="30"/>
          <w:highlight w:val="none"/>
        </w:rPr>
        <w:t>项目编号：</w:t>
      </w:r>
      <w:r>
        <w:rPr>
          <w:rFonts w:hint="eastAsia" w:ascii="宋体" w:hAnsi="宋体" w:cs="宋体"/>
          <w:color w:val="auto"/>
          <w:spacing w:val="0"/>
          <w:sz w:val="30"/>
          <w:szCs w:val="30"/>
          <w:highlight w:val="none"/>
          <w:lang w:eastAsia="zh-CN"/>
        </w:rPr>
        <w:t>FJYL[GK]202309052</w:t>
      </w:r>
    </w:p>
    <w:p>
      <w:pPr>
        <w:pStyle w:val="16"/>
        <w:keepNext w:val="0"/>
        <w:keepLines w:val="0"/>
        <w:widowControl/>
        <w:suppressLineNumbers w:val="0"/>
        <w:spacing w:before="75" w:beforeAutospacing="0" w:after="75" w:afterAutospacing="0"/>
        <w:ind w:left="0" w:right="0" w:firstLine="0"/>
        <w:rPr>
          <w:color w:val="auto"/>
          <w:highlight w:val="none"/>
        </w:rPr>
      </w:pPr>
      <w:r>
        <w:rPr>
          <w:rStyle w:val="22"/>
          <w:rFonts w:hint="eastAsia" w:ascii="宋体" w:hAnsi="宋体" w:eastAsia="宋体" w:cs="宋体"/>
          <w:color w:val="auto"/>
          <w:spacing w:val="0"/>
          <w:sz w:val="30"/>
          <w:szCs w:val="30"/>
          <w:highlight w:val="none"/>
        </w:rPr>
        <w:t>                   </w:t>
      </w:r>
    </w:p>
    <w:p>
      <w:pPr>
        <w:pStyle w:val="16"/>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rPr>
          <w:color w:val="auto"/>
          <w:spacing w:val="0"/>
          <w:sz w:val="24"/>
          <w:szCs w:val="24"/>
          <w:highlight w:val="none"/>
        </w:rPr>
      </w:pPr>
      <w:r>
        <w:rPr>
          <w:rStyle w:val="22"/>
          <w:rFonts w:hint="eastAsia" w:ascii="宋体" w:hAnsi="宋体" w:eastAsia="宋体" w:cs="宋体"/>
          <w:color w:val="auto"/>
          <w:spacing w:val="0"/>
          <w:sz w:val="28"/>
          <w:szCs w:val="28"/>
          <w:highlight w:val="none"/>
        </w:rPr>
        <w:t> </w:t>
      </w: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rPr>
          <w:color w:val="auto"/>
          <w:spacing w:val="0"/>
          <w:sz w:val="24"/>
          <w:szCs w:val="24"/>
          <w:highlight w:val="none"/>
        </w:rPr>
      </w:pPr>
    </w:p>
    <w:p>
      <w:pPr>
        <w:pStyle w:val="16"/>
        <w:keepNext w:val="0"/>
        <w:keepLines w:val="0"/>
        <w:widowControl/>
        <w:suppressLineNumbers w:val="0"/>
        <w:spacing w:before="75" w:beforeAutospacing="0" w:after="75" w:afterAutospacing="0"/>
        <w:ind w:left="0" w:right="0" w:firstLine="0"/>
        <w:rPr>
          <w:color w:val="auto"/>
          <w:spacing w:val="0"/>
          <w:sz w:val="24"/>
          <w:szCs w:val="24"/>
          <w:highlight w:val="none"/>
        </w:rPr>
      </w:pP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w:t>
      </w:r>
    </w:p>
    <w:p>
      <w:pPr>
        <w:pStyle w:val="16"/>
        <w:keepNext w:val="0"/>
        <w:keepLines w:val="0"/>
        <w:widowControl/>
        <w:suppressLineNumbers w:val="0"/>
        <w:spacing w:before="75" w:beforeAutospacing="0" w:after="75" w:afterAutospacing="0"/>
        <w:ind w:left="0" w:right="0" w:firstLine="0"/>
        <w:jc w:val="center"/>
        <w:rPr>
          <w:rFonts w:hint="eastAsia" w:eastAsia="宋体"/>
          <w:color w:val="auto"/>
          <w:highlight w:val="none"/>
          <w:lang w:eastAsia="zh-CN"/>
        </w:rPr>
      </w:pPr>
      <w:r>
        <w:rPr>
          <w:rStyle w:val="22"/>
          <w:rFonts w:hint="eastAsia" w:ascii="宋体" w:hAnsi="宋体" w:eastAsia="宋体" w:cs="宋体"/>
          <w:color w:val="auto"/>
          <w:spacing w:val="0"/>
          <w:sz w:val="27"/>
          <w:szCs w:val="27"/>
          <w:highlight w:val="none"/>
        </w:rPr>
        <w:t>采购人：</w:t>
      </w:r>
      <w:r>
        <w:rPr>
          <w:rFonts w:hint="eastAsia" w:ascii="宋体" w:hAnsi="宋体" w:cs="宋体"/>
          <w:color w:val="auto"/>
          <w:spacing w:val="0"/>
          <w:sz w:val="28"/>
          <w:szCs w:val="28"/>
          <w:highlight w:val="none"/>
          <w:lang w:eastAsia="zh-CN"/>
        </w:rPr>
        <w:t>莆田市湄洲岛市政园林工程有限公司</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8"/>
          <w:szCs w:val="28"/>
          <w:highlight w:val="none"/>
        </w:rPr>
        <w:t>代理机构：</w:t>
      </w:r>
      <w:r>
        <w:rPr>
          <w:rFonts w:hint="eastAsia" w:ascii="宋体" w:hAnsi="宋体" w:eastAsia="宋体" w:cs="宋体"/>
          <w:color w:val="auto"/>
          <w:spacing w:val="0"/>
          <w:sz w:val="28"/>
          <w:szCs w:val="28"/>
          <w:highlight w:val="none"/>
        </w:rPr>
        <w:t>福建亿立项目管理有限公司</w:t>
      </w:r>
    </w:p>
    <w:p>
      <w:pPr>
        <w:pStyle w:val="16"/>
        <w:keepNext w:val="0"/>
        <w:keepLines w:val="0"/>
        <w:widowControl/>
        <w:suppressLineNumbers w:val="0"/>
        <w:spacing w:before="75" w:beforeAutospacing="0" w:after="75" w:afterAutospacing="0"/>
        <w:ind w:left="0" w:right="0" w:firstLine="0"/>
        <w:jc w:val="center"/>
        <w:rPr>
          <w:color w:val="auto"/>
          <w:spacing w:val="0"/>
          <w:sz w:val="27"/>
          <w:szCs w:val="27"/>
          <w:highlight w:val="none"/>
        </w:rPr>
      </w:pPr>
    </w:p>
    <w:p>
      <w:pPr>
        <w:pStyle w:val="16"/>
        <w:keepNext w:val="0"/>
        <w:keepLines w:val="0"/>
        <w:widowControl/>
        <w:suppressLineNumbers w:val="0"/>
        <w:spacing w:before="75" w:beforeAutospacing="0" w:after="75" w:afterAutospacing="0"/>
        <w:ind w:left="0" w:right="0" w:firstLine="0"/>
        <w:jc w:val="center"/>
        <w:rPr>
          <w:color w:val="auto"/>
          <w:highlight w:val="none"/>
        </w:rPr>
      </w:pPr>
      <w:r>
        <w:rPr>
          <w:color w:val="auto"/>
          <w:spacing w:val="0"/>
          <w:sz w:val="27"/>
          <w:szCs w:val="27"/>
          <w:highlight w:val="none"/>
        </w:rPr>
        <w:t> </w:t>
      </w:r>
    </w:p>
    <w:p>
      <w:pPr>
        <w:pStyle w:val="16"/>
        <w:keepNext w:val="0"/>
        <w:keepLines w:val="0"/>
        <w:widowControl/>
        <w:suppressLineNumbers w:val="0"/>
        <w:spacing w:before="75" w:beforeAutospacing="0" w:after="75" w:afterAutospacing="0" w:line="360" w:lineRule="atLeast"/>
        <w:ind w:left="0" w:right="720" w:firstLine="0"/>
        <w:jc w:val="center"/>
        <w:rPr>
          <w:rFonts w:hint="eastAsia" w:eastAsia="宋体"/>
          <w:color w:val="auto"/>
          <w:highlight w:val="none"/>
          <w:lang w:eastAsia="zh-CN"/>
        </w:rPr>
      </w:pPr>
      <w:r>
        <w:rPr>
          <w:rStyle w:val="22"/>
          <w:rFonts w:hint="eastAsia" w:ascii="宋体" w:hAnsi="宋体" w:cs="宋体"/>
          <w:color w:val="auto"/>
          <w:spacing w:val="0"/>
          <w:sz w:val="28"/>
          <w:szCs w:val="28"/>
          <w:highlight w:val="none"/>
          <w:lang w:eastAsia="zh-CN"/>
        </w:rPr>
        <w:t>2023年09月</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31"/>
          <w:szCs w:val="31"/>
          <w:highlight w:val="none"/>
        </w:rPr>
        <w:t>第一章</w:t>
      </w:r>
      <w:r>
        <w:rPr>
          <w:rStyle w:val="22"/>
          <w:color w:val="auto"/>
          <w:spacing w:val="0"/>
          <w:sz w:val="31"/>
          <w:szCs w:val="31"/>
          <w:highlight w:val="none"/>
        </w:rPr>
        <w:t>   </w:t>
      </w:r>
      <w:r>
        <w:rPr>
          <w:rStyle w:val="22"/>
          <w:rFonts w:hint="eastAsia" w:ascii="宋体" w:hAnsi="宋体" w:eastAsia="宋体" w:cs="宋体"/>
          <w:color w:val="auto"/>
          <w:spacing w:val="0"/>
          <w:sz w:val="31"/>
          <w:szCs w:val="31"/>
          <w:highlight w:val="none"/>
        </w:rPr>
        <w:t>投标邀请</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exact"/>
        <w:ind w:left="0" w:right="0" w:firstLine="0"/>
        <w:textAlignment w:val="auto"/>
        <w:rPr>
          <w:color w:val="auto"/>
          <w:highlight w:val="none"/>
        </w:rPr>
      </w:pPr>
      <w:r>
        <w:rPr>
          <w:color w:val="auto"/>
          <w:spacing w:val="0"/>
          <w:sz w:val="24"/>
          <w:szCs w:val="24"/>
          <w:highlight w:val="none"/>
        </w:rPr>
        <w:t> </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采用</w:t>
      </w:r>
      <w:r>
        <w:rPr>
          <w:rFonts w:hint="eastAsia" w:ascii="宋体" w:hAnsi="宋体" w:eastAsia="宋体" w:cs="宋体"/>
          <w:color w:val="auto"/>
          <w:spacing w:val="0"/>
          <w:sz w:val="24"/>
          <w:szCs w:val="24"/>
          <w:highlight w:val="none"/>
          <w:u w:val="single"/>
        </w:rPr>
        <w:t>公开招标方式</w:t>
      </w:r>
      <w:r>
        <w:rPr>
          <w:rFonts w:hint="eastAsia" w:ascii="宋体" w:hAnsi="宋体" w:eastAsia="宋体" w:cs="宋体"/>
          <w:color w:val="auto"/>
          <w:spacing w:val="0"/>
          <w:sz w:val="24"/>
          <w:szCs w:val="24"/>
          <w:highlight w:val="none"/>
        </w:rPr>
        <w:t>组织</w:t>
      </w:r>
      <w:r>
        <w:rPr>
          <w:rFonts w:hint="eastAsia" w:ascii="宋体" w:hAnsi="宋体" w:cs="宋体"/>
          <w:color w:val="auto"/>
          <w:spacing w:val="0"/>
          <w:sz w:val="24"/>
          <w:szCs w:val="24"/>
          <w:highlight w:val="none"/>
          <w:u w:val="single"/>
          <w:lang w:eastAsia="zh-CN"/>
        </w:rPr>
        <w:t>湄洲岛园林绿化养护洒水车采购</w:t>
      </w:r>
      <w:r>
        <w:rPr>
          <w:rFonts w:hint="eastAsia" w:ascii="宋体" w:hAnsi="宋体" w:eastAsia="宋体" w:cs="宋体"/>
          <w:color w:val="auto"/>
          <w:spacing w:val="0"/>
          <w:sz w:val="24"/>
          <w:szCs w:val="24"/>
          <w:highlight w:val="none"/>
        </w:rPr>
        <w:t>（以下简称：“本项目”）的政府采购活动，现邀请供应商参加投标。</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1</w:t>
      </w:r>
      <w:r>
        <w:rPr>
          <w:rFonts w:hint="eastAsia" w:ascii="宋体" w:hAnsi="宋体" w:eastAsia="宋体" w:cs="宋体"/>
          <w:color w:val="auto"/>
          <w:spacing w:val="0"/>
          <w:sz w:val="24"/>
          <w:szCs w:val="24"/>
          <w:highlight w:val="none"/>
        </w:rPr>
        <w:t>、项目编号：</w:t>
      </w:r>
      <w:r>
        <w:rPr>
          <w:rFonts w:hint="eastAsia" w:ascii="宋体" w:hAnsi="宋体" w:cs="宋体"/>
          <w:color w:val="auto"/>
          <w:spacing w:val="0"/>
          <w:sz w:val="24"/>
          <w:szCs w:val="24"/>
          <w:highlight w:val="none"/>
          <w:u w:val="single"/>
          <w:lang w:eastAsia="zh-CN"/>
        </w:rPr>
        <w:t>FJYL[GK]202309052</w:t>
      </w:r>
      <w:r>
        <w:rPr>
          <w:rFonts w:hint="eastAsia" w:ascii="宋体" w:hAnsi="宋体" w:eastAsia="宋体" w:cs="宋体"/>
          <w:color w:val="auto"/>
          <w:spacing w:val="0"/>
          <w:sz w:val="24"/>
          <w:szCs w:val="24"/>
          <w:highlight w:val="none"/>
        </w:rPr>
        <w:t>。</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rFonts w:hint="eastAsia" w:ascii="宋体" w:hAnsi="宋体" w:eastAsia="宋体" w:cs="宋体"/>
          <w:color w:val="auto"/>
          <w:spacing w:val="0"/>
          <w:sz w:val="24"/>
          <w:szCs w:val="24"/>
          <w:highlight w:val="none"/>
          <w:lang w:eastAsia="zh-CN"/>
        </w:rPr>
      </w:pPr>
      <w:r>
        <w:rPr>
          <w:rFonts w:hint="eastAsia" w:ascii="宋体" w:hAnsi="宋体" w:cs="宋体"/>
          <w:color w:val="auto"/>
          <w:spacing w:val="0"/>
          <w:sz w:val="24"/>
          <w:szCs w:val="24"/>
          <w:highlight w:val="none"/>
          <w:lang w:val="en-US" w:eastAsia="zh-CN"/>
        </w:rPr>
        <w:t>2</w:t>
      </w:r>
      <w:r>
        <w:rPr>
          <w:rFonts w:hint="eastAsia" w:ascii="宋体" w:hAnsi="宋体" w:eastAsia="宋体" w:cs="宋体"/>
          <w:color w:val="auto"/>
          <w:spacing w:val="0"/>
          <w:sz w:val="24"/>
          <w:szCs w:val="24"/>
          <w:highlight w:val="none"/>
        </w:rPr>
        <w:t>、预算金额、最高限价：详见《采购标的一览表》。</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3</w:t>
      </w:r>
      <w:r>
        <w:rPr>
          <w:rFonts w:hint="eastAsia" w:ascii="宋体" w:hAnsi="宋体" w:eastAsia="宋体" w:cs="宋体"/>
          <w:color w:val="auto"/>
          <w:spacing w:val="0"/>
          <w:sz w:val="24"/>
          <w:szCs w:val="24"/>
          <w:highlight w:val="none"/>
        </w:rPr>
        <w:t>、招标内容及要求：详见《采购标的一览表》及招标文件第五章。</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需要落实的政府采购政策：进口产品，适用于（无）。节能产品，适用于（所有合同包），按照（财政部发布的最新一期节能产品政府采购品目清单）执行。环境标志产品，适用于（所有合同包），按照（财政部发布的最新一期环境标志产品政府采购品目清单）执行。信息安全产品，适用于（所有合同包）。小型、微型企业，适用于（所有合同包）。监狱企业，适用于（所有合同包）。促进残疾人就业 ，适用于（所有合同包）。信用记录，适用于（所有合同包），按照《财政部关于在政府采购活动中查询及使用信用记录有关问题的通知》（财库﹝2016﹞125号）规定执行。</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rPr>
        <w:t>、投标人的资格要求</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rPr>
        <w:t>.1法定条件：符合政府采购法第二十二条规定的条件。</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rFonts w:hint="eastAsia" w:eastAsia="宋体"/>
          <w:color w:val="auto"/>
          <w:highlight w:val="none"/>
          <w:lang w:eastAsia="zh-CN"/>
        </w:rPr>
      </w:pPr>
      <w:r>
        <w:rPr>
          <w:rFonts w:hint="eastAsia" w:ascii="宋体" w:hAnsi="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rPr>
        <w:t>.2特定条件：</w:t>
      </w:r>
      <w:r>
        <w:rPr>
          <w:rFonts w:hint="eastAsia" w:ascii="宋体" w:hAnsi="宋体" w:cs="宋体"/>
          <w:color w:val="auto"/>
          <w:spacing w:val="0"/>
          <w:sz w:val="24"/>
          <w:szCs w:val="24"/>
          <w:highlight w:val="none"/>
          <w:lang w:val="en-US" w:eastAsia="zh-CN"/>
        </w:rPr>
        <w:t>无</w:t>
      </w:r>
      <w:r>
        <w:rPr>
          <w:rFonts w:hint="eastAsia" w:ascii="宋体" w:hAnsi="宋体" w:eastAsia="宋体" w:cs="宋体"/>
          <w:color w:val="auto"/>
          <w:spacing w:val="0"/>
          <w:sz w:val="24"/>
          <w:szCs w:val="24"/>
          <w:highlight w:val="none"/>
          <w:lang w:val="en-US" w:eastAsia="zh-CN"/>
        </w:rPr>
        <w:t>。</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rPr>
        <w:t>.3是否接受联合体投标：不接受。</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Style w:val="22"/>
          <w:rFonts w:hint="eastAsia" w:ascii="宋体" w:hAnsi="宋体" w:eastAsia="宋体" w:cs="宋体"/>
          <w:color w:val="auto"/>
          <w:spacing w:val="0"/>
          <w:sz w:val="24"/>
          <w:szCs w:val="24"/>
          <w:highlight w:val="none"/>
        </w:rPr>
        <w:t>※根据上述资格要求，投标文件中应提交的“投标人的资格及资信证明文件”详见招标文件第四章。</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6</w:t>
      </w:r>
      <w:r>
        <w:rPr>
          <w:rFonts w:hint="eastAsia" w:ascii="宋体" w:hAnsi="宋体" w:eastAsia="宋体" w:cs="宋体"/>
          <w:color w:val="auto"/>
          <w:spacing w:val="0"/>
          <w:sz w:val="24"/>
          <w:szCs w:val="24"/>
          <w:highlight w:val="none"/>
        </w:rPr>
        <w:t>、招标文件的获取</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6</w:t>
      </w:r>
      <w:r>
        <w:rPr>
          <w:rFonts w:hint="eastAsia" w:ascii="宋体" w:hAnsi="宋体" w:eastAsia="宋体" w:cs="宋体"/>
          <w:color w:val="auto"/>
          <w:spacing w:val="0"/>
          <w:sz w:val="24"/>
          <w:szCs w:val="24"/>
          <w:highlight w:val="none"/>
        </w:rPr>
        <w:t>.1、招标文件获取期限：详见招标公告或更正公告，若不一致，以更正公告为准。</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6.2</w:t>
      </w:r>
      <w:r>
        <w:rPr>
          <w:rFonts w:hint="eastAsia" w:ascii="宋体" w:hAnsi="宋体" w:eastAsia="宋体" w:cs="宋体"/>
          <w:color w:val="auto"/>
          <w:spacing w:val="0"/>
          <w:sz w:val="24"/>
          <w:szCs w:val="24"/>
          <w:highlight w:val="none"/>
        </w:rPr>
        <w:t>、获取地点及方式：详见招标公告或更正公告，若不一致，以更正公告为准。</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6</w:t>
      </w: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lang w:val="en-US" w:eastAsia="zh-CN"/>
        </w:rPr>
        <w:t>3</w:t>
      </w:r>
      <w:r>
        <w:rPr>
          <w:rFonts w:hint="eastAsia" w:ascii="宋体" w:hAnsi="宋体" w:eastAsia="宋体" w:cs="宋体"/>
          <w:color w:val="auto"/>
          <w:spacing w:val="0"/>
          <w:sz w:val="24"/>
          <w:szCs w:val="24"/>
          <w:highlight w:val="none"/>
        </w:rPr>
        <w:t>、招标文件售价：</w:t>
      </w:r>
      <w:r>
        <w:rPr>
          <w:rFonts w:hint="eastAsia" w:ascii="宋体" w:hAnsi="宋体" w:cs="宋体"/>
          <w:color w:val="auto"/>
          <w:spacing w:val="0"/>
          <w:sz w:val="24"/>
          <w:szCs w:val="24"/>
          <w:highlight w:val="none"/>
          <w:lang w:val="en-US" w:eastAsia="zh-CN"/>
        </w:rPr>
        <w:t>0</w:t>
      </w:r>
      <w:r>
        <w:rPr>
          <w:rFonts w:hint="eastAsia" w:ascii="宋体" w:hAnsi="宋体" w:eastAsia="宋体" w:cs="宋体"/>
          <w:color w:val="auto"/>
          <w:spacing w:val="0"/>
          <w:sz w:val="24"/>
          <w:szCs w:val="24"/>
          <w:highlight w:val="none"/>
        </w:rPr>
        <w:t>元。</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7</w:t>
      </w:r>
      <w:r>
        <w:rPr>
          <w:rFonts w:hint="eastAsia" w:ascii="宋体" w:hAnsi="宋体" w:eastAsia="宋体" w:cs="宋体"/>
          <w:color w:val="auto"/>
          <w:spacing w:val="0"/>
          <w:sz w:val="24"/>
          <w:szCs w:val="24"/>
          <w:highlight w:val="none"/>
        </w:rPr>
        <w:t>、投标截止</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7</w:t>
      </w:r>
      <w:r>
        <w:rPr>
          <w:rFonts w:hint="eastAsia" w:ascii="宋体" w:hAnsi="宋体" w:eastAsia="宋体" w:cs="宋体"/>
          <w:color w:val="auto"/>
          <w:spacing w:val="0"/>
          <w:sz w:val="24"/>
          <w:szCs w:val="24"/>
          <w:highlight w:val="none"/>
        </w:rPr>
        <w:t>.1、投标截止时间：详见招标公告或更正公告，若不一致，以更正公告为准。</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7</w:t>
      </w:r>
      <w:r>
        <w:rPr>
          <w:rFonts w:hint="eastAsia" w:ascii="宋体" w:hAnsi="宋体" w:eastAsia="宋体" w:cs="宋体"/>
          <w:color w:val="auto"/>
          <w:spacing w:val="0"/>
          <w:sz w:val="24"/>
          <w:szCs w:val="24"/>
          <w:highlight w:val="none"/>
        </w:rPr>
        <w:t>.2、投标人应在投标截止时间前</w:t>
      </w:r>
      <w:r>
        <w:rPr>
          <w:rFonts w:hint="eastAsia" w:ascii="宋体" w:hAnsi="宋体" w:cs="宋体"/>
          <w:color w:val="auto"/>
          <w:spacing w:val="0"/>
          <w:sz w:val="24"/>
          <w:szCs w:val="24"/>
          <w:highlight w:val="none"/>
          <w:lang w:eastAsia="zh-CN"/>
        </w:rPr>
        <w:t>将密封的</w:t>
      </w:r>
      <w:r>
        <w:rPr>
          <w:rFonts w:hint="eastAsia" w:ascii="宋体" w:hAnsi="宋体" w:eastAsia="宋体" w:cs="宋体"/>
          <w:color w:val="auto"/>
          <w:spacing w:val="0"/>
          <w:sz w:val="24"/>
          <w:szCs w:val="24"/>
          <w:highlight w:val="none"/>
        </w:rPr>
        <w:t>投标文件</w:t>
      </w:r>
      <w:r>
        <w:rPr>
          <w:rFonts w:hint="eastAsia" w:ascii="宋体" w:hAnsi="宋体" w:cs="宋体"/>
          <w:color w:val="auto"/>
          <w:spacing w:val="0"/>
          <w:sz w:val="24"/>
          <w:szCs w:val="24"/>
          <w:highlight w:val="none"/>
          <w:lang w:eastAsia="zh-CN"/>
        </w:rPr>
        <w:t>提交至指定地点</w:t>
      </w:r>
      <w:r>
        <w:rPr>
          <w:rFonts w:hint="eastAsia" w:ascii="宋体" w:hAnsi="宋体" w:eastAsia="宋体" w:cs="宋体"/>
          <w:color w:val="auto"/>
          <w:spacing w:val="0"/>
          <w:sz w:val="24"/>
          <w:szCs w:val="24"/>
          <w:highlight w:val="none"/>
        </w:rPr>
        <w:t>，否则</w:t>
      </w:r>
      <w:r>
        <w:rPr>
          <w:rStyle w:val="22"/>
          <w:rFonts w:hint="eastAsia" w:ascii="宋体" w:hAnsi="宋体" w:eastAsia="宋体" w:cs="宋体"/>
          <w:color w:val="auto"/>
          <w:spacing w:val="0"/>
          <w:sz w:val="24"/>
          <w:szCs w:val="24"/>
          <w:highlight w:val="none"/>
        </w:rPr>
        <w:t>投标将被拒绝。</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8</w:t>
      </w:r>
      <w:r>
        <w:rPr>
          <w:rFonts w:hint="eastAsia" w:ascii="宋体" w:hAnsi="宋体" w:eastAsia="宋体" w:cs="宋体"/>
          <w:color w:val="auto"/>
          <w:spacing w:val="0"/>
          <w:sz w:val="24"/>
          <w:szCs w:val="24"/>
          <w:highlight w:val="none"/>
        </w:rPr>
        <w:t>、开标时间及地点：详见招标公告或更正公告，若不一致，以更正公告为准。</w:t>
      </w:r>
      <w:r>
        <w:rPr>
          <w:rStyle w:val="22"/>
          <w:rFonts w:hint="eastAsia" w:ascii="宋体" w:hAnsi="宋体" w:eastAsia="宋体" w:cs="宋体"/>
          <w:color w:val="auto"/>
          <w:spacing w:val="0"/>
          <w:sz w:val="24"/>
          <w:szCs w:val="24"/>
          <w:highlight w:val="none"/>
        </w:rPr>
        <w:t> </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9</w:t>
      </w:r>
      <w:r>
        <w:rPr>
          <w:rFonts w:hint="eastAsia" w:ascii="宋体" w:hAnsi="宋体" w:eastAsia="宋体" w:cs="宋体"/>
          <w:color w:val="auto"/>
          <w:spacing w:val="0"/>
          <w:sz w:val="24"/>
          <w:szCs w:val="24"/>
          <w:highlight w:val="none"/>
        </w:rPr>
        <w:t>、公告期限</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9</w:t>
      </w:r>
      <w:r>
        <w:rPr>
          <w:rFonts w:hint="eastAsia" w:ascii="宋体" w:hAnsi="宋体" w:eastAsia="宋体" w:cs="宋体"/>
          <w:color w:val="auto"/>
          <w:spacing w:val="0"/>
          <w:sz w:val="24"/>
          <w:szCs w:val="24"/>
          <w:highlight w:val="none"/>
        </w:rPr>
        <w:t>.1、招标公告的公告期限：</w:t>
      </w:r>
      <w:r>
        <w:rPr>
          <w:rFonts w:hint="eastAsia" w:ascii="宋体" w:hAnsi="宋体" w:cs="宋体"/>
          <w:color w:val="auto"/>
          <w:spacing w:val="0"/>
          <w:sz w:val="24"/>
          <w:szCs w:val="24"/>
          <w:highlight w:val="none"/>
          <w:lang w:eastAsia="zh-CN"/>
        </w:rPr>
        <w:t>以莆田市湄洲岛旅游建设集团有限公</w:t>
      </w:r>
      <w:r>
        <w:rPr>
          <w:rFonts w:hint="eastAsia" w:ascii="宋体" w:hAnsi="宋体" w:cs="宋体"/>
          <w:color w:val="auto"/>
          <w:spacing w:val="0"/>
          <w:sz w:val="24"/>
          <w:szCs w:val="24"/>
          <w:highlight w:val="none"/>
          <w:lang w:val="en-US" w:eastAsia="zh-CN"/>
        </w:rPr>
        <w:t>司官网</w:t>
      </w:r>
      <w:r>
        <w:rPr>
          <w:rFonts w:hint="eastAsia"/>
          <w:color w:val="auto"/>
          <w:highlight w:val="none"/>
        </w:rPr>
        <w:t xml:space="preserve"> </w:t>
      </w:r>
      <w:r>
        <w:rPr>
          <w:rFonts w:hint="eastAsia"/>
          <w:color w:val="auto"/>
          <w:highlight w:val="none"/>
          <w:lang w:val="en-US" w:eastAsia="zh-CN"/>
        </w:rPr>
        <w:t>(</w:t>
      </w:r>
      <w:r>
        <w:rPr>
          <w:rFonts w:hint="eastAsia"/>
          <w:color w:val="auto"/>
          <w:highlight w:val="none"/>
        </w:rPr>
        <w:t>http://www.mzdljjt.com/zh</w:t>
      </w:r>
      <w:r>
        <w:rPr>
          <w:rFonts w:hint="eastAsia"/>
          <w:color w:val="auto"/>
          <w:highlight w:val="none"/>
          <w:lang w:val="en-US" w:eastAsia="zh-CN"/>
        </w:rPr>
        <w:t>)</w:t>
      </w:r>
      <w:r>
        <w:rPr>
          <w:rFonts w:hint="eastAsia"/>
          <w:color w:val="auto"/>
          <w:highlight w:val="none"/>
        </w:rPr>
        <w:t>、中国采购与招标网</w:t>
      </w:r>
      <w:r>
        <w:rPr>
          <w:rFonts w:hint="eastAsia"/>
          <w:color w:val="auto"/>
          <w:highlight w:val="none"/>
          <w:lang w:val="en-US" w:eastAsia="zh-CN"/>
        </w:rPr>
        <w:t>(www.chinabidding.com.cn)等网站</w:t>
      </w:r>
      <w:r>
        <w:rPr>
          <w:rFonts w:hint="eastAsia" w:ascii="宋体" w:hAnsi="宋体" w:eastAsia="宋体" w:cs="宋体"/>
          <w:color w:val="auto"/>
          <w:spacing w:val="0"/>
          <w:sz w:val="24"/>
          <w:szCs w:val="24"/>
          <w:highlight w:val="none"/>
        </w:rPr>
        <w:t>发布公告之日起</w:t>
      </w:r>
      <w:r>
        <w:rPr>
          <w:rFonts w:hint="default" w:ascii="Times New Roman" w:hAnsi="Times New Roman" w:cs="Times New Roman"/>
          <w:color w:val="auto"/>
          <w:spacing w:val="0"/>
          <w:sz w:val="24"/>
          <w:szCs w:val="24"/>
          <w:highlight w:val="none"/>
        </w:rPr>
        <w:t>5</w:t>
      </w:r>
      <w:r>
        <w:rPr>
          <w:rFonts w:hint="eastAsia" w:ascii="宋体" w:hAnsi="宋体" w:eastAsia="宋体" w:cs="宋体"/>
          <w:color w:val="auto"/>
          <w:spacing w:val="0"/>
          <w:sz w:val="24"/>
          <w:szCs w:val="24"/>
          <w:highlight w:val="none"/>
        </w:rPr>
        <w:t>个工作日。</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cs="宋体"/>
          <w:color w:val="auto"/>
          <w:spacing w:val="0"/>
          <w:sz w:val="24"/>
          <w:szCs w:val="24"/>
          <w:highlight w:val="none"/>
          <w:lang w:val="en-US" w:eastAsia="zh-CN"/>
        </w:rPr>
        <w:t>9</w:t>
      </w:r>
      <w:r>
        <w:rPr>
          <w:rFonts w:hint="eastAsia" w:ascii="宋体" w:hAnsi="宋体" w:eastAsia="宋体" w:cs="宋体"/>
          <w:color w:val="auto"/>
          <w:spacing w:val="0"/>
          <w:sz w:val="24"/>
          <w:szCs w:val="24"/>
          <w:highlight w:val="none"/>
        </w:rPr>
        <w:t>.2、招标文件公告期限：招标文件公告期限与招标公告的公告期限一致。</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w:t>
      </w:r>
      <w:r>
        <w:rPr>
          <w:rFonts w:hint="eastAsia" w:ascii="宋体" w:hAnsi="宋体" w:cs="宋体"/>
          <w:color w:val="auto"/>
          <w:spacing w:val="0"/>
          <w:sz w:val="24"/>
          <w:szCs w:val="24"/>
          <w:highlight w:val="none"/>
          <w:lang w:val="en-US" w:eastAsia="zh-CN"/>
        </w:rPr>
        <w:t>0</w:t>
      </w:r>
      <w:r>
        <w:rPr>
          <w:rFonts w:hint="eastAsia" w:ascii="宋体" w:hAnsi="宋体" w:eastAsia="宋体" w:cs="宋体"/>
          <w:color w:val="auto"/>
          <w:spacing w:val="0"/>
          <w:sz w:val="24"/>
          <w:szCs w:val="24"/>
          <w:highlight w:val="none"/>
        </w:rPr>
        <w:t>、对本次招标提出询问，请按以下方式联系。</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rFonts w:hint="eastAsia" w:eastAsia="宋体"/>
          <w:color w:val="auto"/>
          <w:highlight w:val="none"/>
          <w:lang w:eastAsia="zh-CN"/>
        </w:rPr>
      </w:pPr>
      <w:r>
        <w:rPr>
          <w:rFonts w:hint="eastAsia" w:ascii="宋体" w:hAnsi="宋体" w:eastAsia="宋体" w:cs="宋体"/>
          <w:color w:val="auto"/>
          <w:spacing w:val="0"/>
          <w:sz w:val="24"/>
          <w:szCs w:val="24"/>
          <w:highlight w:val="none"/>
        </w:rPr>
        <w:t>采购人：</w:t>
      </w:r>
      <w:r>
        <w:rPr>
          <w:rFonts w:hint="eastAsia" w:ascii="宋体" w:hAnsi="宋体" w:cs="宋体"/>
          <w:color w:val="auto"/>
          <w:spacing w:val="0"/>
          <w:sz w:val="24"/>
          <w:szCs w:val="24"/>
          <w:highlight w:val="none"/>
          <w:lang w:eastAsia="zh-CN"/>
        </w:rPr>
        <w:t>莆田市湄洲岛市政园林工程有限公司</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rFonts w:hint="eastAsia" w:ascii="宋体" w:hAnsi="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rPr>
        <w:t>地址：莆田市秀屿区湄洲镇环岛东路南街1568号</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rFonts w:hint="eastAsia" w:eastAsia="宋体"/>
          <w:color w:val="auto"/>
          <w:highlight w:val="none"/>
          <w:lang w:eastAsia="zh-CN"/>
        </w:rPr>
      </w:pPr>
      <w:r>
        <w:rPr>
          <w:rFonts w:hint="eastAsia" w:ascii="宋体" w:hAnsi="宋体" w:eastAsia="宋体" w:cs="宋体"/>
          <w:color w:val="auto"/>
          <w:spacing w:val="0"/>
          <w:sz w:val="24"/>
          <w:szCs w:val="24"/>
          <w:highlight w:val="none"/>
        </w:rPr>
        <w:t>联系方法：</w:t>
      </w:r>
      <w:r>
        <w:rPr>
          <w:rFonts w:hint="eastAsia" w:ascii="宋体" w:hAnsi="宋体"/>
          <w:color w:val="auto"/>
          <w:sz w:val="24"/>
          <w:highlight w:val="none"/>
        </w:rPr>
        <w:t>林</w:t>
      </w:r>
      <w:r>
        <w:rPr>
          <w:rFonts w:hint="eastAsia" w:ascii="宋体" w:hAnsi="宋体"/>
          <w:color w:val="auto"/>
          <w:sz w:val="24"/>
          <w:highlight w:val="none"/>
          <w:lang w:val="en-US" w:eastAsia="zh-CN"/>
        </w:rPr>
        <w:t>女士</w:t>
      </w:r>
      <w:r>
        <w:rPr>
          <w:rFonts w:hint="eastAsia" w:ascii="宋体" w:hAnsi="宋体" w:cs="宋体"/>
          <w:color w:val="auto"/>
          <w:spacing w:val="0"/>
          <w:sz w:val="24"/>
          <w:szCs w:val="24"/>
          <w:highlight w:val="none"/>
          <w:lang w:val="en-US" w:eastAsia="zh-CN"/>
        </w:rPr>
        <w:t>/13799018701</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eastAsia="宋体" w:cs="宋体"/>
          <w:color w:val="auto"/>
          <w:spacing w:val="0"/>
          <w:sz w:val="24"/>
          <w:szCs w:val="24"/>
          <w:highlight w:val="none"/>
        </w:rPr>
        <w:t>代理机构：福建亿立项目管理有限公司</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color w:val="auto"/>
          <w:highlight w:val="none"/>
        </w:rPr>
      </w:pPr>
      <w:r>
        <w:rPr>
          <w:rFonts w:hint="eastAsia" w:ascii="宋体" w:hAnsi="宋体" w:eastAsia="宋体" w:cs="宋体"/>
          <w:color w:val="auto"/>
          <w:spacing w:val="0"/>
          <w:sz w:val="24"/>
          <w:szCs w:val="24"/>
          <w:highlight w:val="none"/>
        </w:rPr>
        <w:t>地址：</w:t>
      </w:r>
      <w:r>
        <w:rPr>
          <w:rFonts w:hint="eastAsia" w:ascii="宋体" w:hAnsi="宋体" w:cs="宋体"/>
          <w:color w:val="auto"/>
          <w:sz w:val="24"/>
          <w:highlight w:val="none"/>
        </w:rPr>
        <w:t>莆田市城厢区霞林街道壶山西路572弄1号9梯214室</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80"/>
        <w:textAlignment w:val="auto"/>
        <w:rPr>
          <w:rFonts w:hint="eastAsia" w:eastAsia="宋体"/>
          <w:color w:val="auto"/>
          <w:highlight w:val="none"/>
          <w:lang w:eastAsia="zh-CN"/>
        </w:rPr>
      </w:pPr>
      <w:r>
        <w:rPr>
          <w:rFonts w:hint="eastAsia" w:ascii="宋体" w:hAnsi="宋体" w:eastAsia="宋体" w:cs="宋体"/>
          <w:color w:val="auto"/>
          <w:spacing w:val="0"/>
          <w:sz w:val="24"/>
          <w:szCs w:val="24"/>
          <w:highlight w:val="none"/>
        </w:rPr>
        <w:t>联系方法：</w:t>
      </w:r>
      <w:r>
        <w:rPr>
          <w:rFonts w:hint="eastAsia" w:ascii="宋体" w:hAnsi="宋体" w:cs="宋体"/>
          <w:color w:val="auto"/>
          <w:spacing w:val="0"/>
          <w:sz w:val="24"/>
          <w:szCs w:val="24"/>
          <w:highlight w:val="none"/>
          <w:lang w:eastAsia="zh-CN"/>
        </w:rPr>
        <w:t>陈女士</w:t>
      </w:r>
      <w:r>
        <w:rPr>
          <w:rFonts w:hint="eastAsia" w:ascii="宋体" w:hAnsi="宋体" w:cs="宋体"/>
          <w:color w:val="auto"/>
          <w:spacing w:val="0"/>
          <w:sz w:val="24"/>
          <w:szCs w:val="24"/>
          <w:highlight w:val="none"/>
          <w:lang w:val="en-US" w:eastAsia="zh-CN"/>
        </w:rPr>
        <w:t>/</w:t>
      </w:r>
      <w:r>
        <w:rPr>
          <w:rFonts w:hint="eastAsia" w:ascii="宋体" w:hAnsi="宋体" w:cs="楷体"/>
          <w:color w:val="auto"/>
          <w:sz w:val="24"/>
          <w:highlight w:val="none"/>
        </w:rPr>
        <w:t>0594-2589989</w:t>
      </w:r>
      <w:r>
        <w:rPr>
          <w:rFonts w:hint="eastAsia" w:ascii="宋体" w:hAnsi="宋体" w:cs="楷体"/>
          <w:color w:val="auto"/>
          <w:sz w:val="24"/>
          <w:highlight w:val="none"/>
          <w:lang w:eastAsia="zh-CN"/>
        </w:rPr>
        <w:t>、17350118612</w:t>
      </w: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highlight w:val="none"/>
          <w:lang w:eastAsia="zh-CN"/>
        </w:rPr>
      </w:pP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附1：账户信息</w:t>
      </w:r>
    </w:p>
    <w:tbl>
      <w:tblPr>
        <w:tblStyle w:val="19"/>
        <w:tblW w:w="96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82" w:hRule="atLeast"/>
          <w:tblCellSpacing w:w="15" w:type="dxa"/>
        </w:trPr>
        <w:tc>
          <w:tcPr>
            <w:tcW w:w="9560"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Style w:val="22"/>
                <w:rFonts w:hint="eastAsia" w:ascii="宋体" w:hAnsi="宋体" w:eastAsia="宋体" w:cs="宋体"/>
                <w:color w:val="auto"/>
                <w:spacing w:val="0"/>
                <w:sz w:val="24"/>
                <w:szCs w:val="24"/>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tblCellSpacing w:w="15" w:type="dxa"/>
        </w:trPr>
        <w:tc>
          <w:tcPr>
            <w:tcW w:w="9560"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both"/>
              <w:rPr>
                <w:color w:val="auto"/>
                <w:highlight w:val="none"/>
              </w:rPr>
            </w:pPr>
            <w:r>
              <w:rPr>
                <w:rFonts w:hint="eastAsia" w:ascii="宋体" w:hAnsi="宋体" w:eastAsia="宋体" w:cs="宋体"/>
                <w:color w:val="auto"/>
                <w:spacing w:val="0"/>
                <w:sz w:val="24"/>
                <w:szCs w:val="24"/>
                <w:highlight w:val="none"/>
              </w:rPr>
              <w:t>开户名称：</w:t>
            </w:r>
            <w:r>
              <w:rPr>
                <w:rFonts w:hint="eastAsia" w:ascii="宋体" w:hAnsi="宋体" w:eastAsia="宋体" w:cs="宋体"/>
                <w:color w:val="auto"/>
                <w:spacing w:val="0"/>
                <w:sz w:val="24"/>
                <w:szCs w:val="24"/>
                <w:highlight w:val="none"/>
                <w:u w:val="single"/>
                <w:shd w:val="clear" w:fill="FFFFFF"/>
              </w:rPr>
              <w:t>福建亿立项目管理有限公司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7" w:hRule="atLeast"/>
          <w:tblCellSpacing w:w="15" w:type="dxa"/>
        </w:trPr>
        <w:tc>
          <w:tcPr>
            <w:tcW w:w="9560"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both"/>
              <w:rPr>
                <w:color w:val="auto"/>
                <w:highlight w:val="none"/>
              </w:rPr>
            </w:pPr>
            <w:r>
              <w:rPr>
                <w:rFonts w:hint="eastAsia" w:ascii="宋体" w:hAnsi="宋体" w:eastAsia="宋体" w:cs="宋体"/>
                <w:color w:val="auto"/>
                <w:spacing w:val="0"/>
                <w:sz w:val="24"/>
                <w:szCs w:val="24"/>
                <w:highlight w:val="none"/>
              </w:rPr>
              <w:t>开户银行：</w:t>
            </w:r>
            <w:r>
              <w:rPr>
                <w:rFonts w:hint="eastAsia" w:ascii="宋体" w:hAnsi="宋体" w:cs="宋体"/>
                <w:color w:val="auto"/>
                <w:sz w:val="24"/>
                <w:highlight w:val="none"/>
                <w:lang w:eastAsia="zh-CN"/>
              </w:rPr>
              <w:t>工行莆田南门</w:t>
            </w:r>
            <w:r>
              <w:rPr>
                <w:rFonts w:hint="eastAsia" w:ascii="宋体" w:hAnsi="宋体" w:cs="宋体"/>
                <w:color w:val="auto"/>
                <w:sz w:val="24"/>
                <w:highlight w:val="none"/>
              </w:rPr>
              <w:t>支行</w:t>
            </w:r>
            <w:r>
              <w:rPr>
                <w:rFonts w:hint="eastAsia" w:ascii="宋体" w:hAnsi="宋体" w:eastAsia="宋体" w:cs="宋体"/>
                <w:color w:val="auto"/>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8" w:hRule="atLeast"/>
          <w:tblCellSpacing w:w="15" w:type="dxa"/>
        </w:trPr>
        <w:tc>
          <w:tcPr>
            <w:tcW w:w="9560"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both"/>
              <w:rPr>
                <w:color w:val="auto"/>
                <w:highlight w:val="none"/>
              </w:rPr>
            </w:pPr>
            <w:r>
              <w:rPr>
                <w:rFonts w:hint="eastAsia" w:ascii="宋体" w:hAnsi="宋体" w:eastAsia="宋体" w:cs="宋体"/>
                <w:color w:val="auto"/>
                <w:spacing w:val="0"/>
                <w:sz w:val="24"/>
                <w:szCs w:val="24"/>
                <w:highlight w:val="none"/>
              </w:rPr>
              <w:t>银行账号：</w:t>
            </w:r>
            <w:r>
              <w:rPr>
                <w:rFonts w:hint="eastAsia" w:ascii="宋体" w:hAnsi="宋体" w:cs="宋体"/>
                <w:color w:val="auto"/>
                <w:sz w:val="24"/>
                <w:highlight w:val="none"/>
                <w:lang w:val="en-US" w:eastAsia="zh-CN"/>
              </w:rPr>
              <w:t>1405 5012 1900 0043 621</w:t>
            </w:r>
            <w:r>
              <w:rPr>
                <w:rFonts w:hint="eastAsia" w:ascii="宋体" w:hAnsi="宋体" w:cs="宋体"/>
                <w:color w:val="auto"/>
                <w:sz w:val="24"/>
                <w:highlight w:val="none"/>
              </w:rPr>
              <w:t>（仅用于缴纳</w:t>
            </w:r>
            <w:r>
              <w:rPr>
                <w:rFonts w:hint="eastAsia" w:ascii="宋体" w:hAnsi="宋体" w:cs="宋体"/>
                <w:color w:val="auto"/>
                <w:sz w:val="24"/>
                <w:highlight w:val="none"/>
                <w:lang w:eastAsia="zh-CN"/>
              </w:rPr>
              <w:t>投标</w:t>
            </w:r>
            <w:r>
              <w:rPr>
                <w:rFonts w:hint="eastAsia" w:ascii="宋体" w:hAnsi="宋体" w:cs="宋体"/>
                <w:color w:val="auto"/>
                <w:sz w:val="24"/>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tblCellSpacing w:w="15" w:type="dxa"/>
        </w:trPr>
        <w:tc>
          <w:tcPr>
            <w:tcW w:w="9560"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Style w:val="22"/>
                <w:rFonts w:hint="eastAsia" w:ascii="宋体" w:hAnsi="宋体" w:eastAsia="宋体" w:cs="宋体"/>
                <w:color w:val="auto"/>
                <w:spacing w:val="0"/>
                <w:sz w:val="24"/>
                <w:szCs w:val="24"/>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59" w:hRule="atLeast"/>
          <w:tblCellSpacing w:w="15" w:type="dxa"/>
        </w:trPr>
        <w:tc>
          <w:tcPr>
            <w:tcW w:w="9560" w:type="dxa"/>
            <w:shd w:val="clear" w:color="auto" w:fill="auto"/>
            <w:tcMar>
              <w:top w:w="0" w:type="dxa"/>
              <w:left w:w="105" w:type="dxa"/>
              <w:bottom w:w="0" w:type="dxa"/>
              <w:right w:w="105" w:type="dxa"/>
            </w:tcMar>
            <w:vAlign w:val="top"/>
          </w:tcPr>
          <w:p>
            <w:pPr>
              <w:pStyle w:val="16"/>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1、投标人应认真核对账户信息，将投标保证金汇入以上账户，并自行承担因汇错投标保证金而产生的一切后果。</w:t>
            </w:r>
          </w:p>
          <w:p>
            <w:pPr>
              <w:pStyle w:val="16"/>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2、投标人在转账或电汇的凭证上应按照以下格式注明，以便核对：“（项目编号：</w:t>
            </w:r>
            <w:r>
              <w:rPr>
                <w:rFonts w:hint="default" w:ascii="Times New Roman" w:hAnsi="Times New Roman" w:cs="Times New Roman"/>
                <w:color w:val="auto"/>
                <w:spacing w:val="0"/>
                <w:sz w:val="24"/>
                <w:szCs w:val="24"/>
                <w:highlight w:val="none"/>
              </w:rPr>
              <w:t>***</w:t>
            </w:r>
            <w:r>
              <w:rPr>
                <w:rFonts w:hint="eastAsia" w:ascii="宋体" w:hAnsi="宋体" w:eastAsia="宋体" w:cs="宋体"/>
                <w:color w:val="auto"/>
                <w:spacing w:val="0"/>
                <w:sz w:val="24"/>
                <w:szCs w:val="24"/>
                <w:highlight w:val="none"/>
              </w:rPr>
              <w:t>）的投标保证金”。</w:t>
            </w:r>
          </w:p>
        </w:tc>
      </w:tr>
    </w:tbl>
    <w:p>
      <w:pPr>
        <w:pStyle w:val="16"/>
        <w:keepNext w:val="0"/>
        <w:keepLines w:val="0"/>
        <w:widowControl/>
        <w:suppressLineNumbers w:val="0"/>
        <w:spacing w:before="75" w:beforeAutospacing="0" w:after="75" w:afterAutospacing="0"/>
        <w:ind w:left="0" w:right="0" w:firstLine="480"/>
        <w:rPr>
          <w:color w:val="auto"/>
          <w:highlight w:val="none"/>
        </w:rPr>
      </w:pP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rPr>
          <w:color w:val="auto"/>
          <w:spacing w:val="0"/>
          <w:sz w:val="24"/>
          <w:szCs w:val="24"/>
          <w:highlight w:val="none"/>
        </w:rPr>
      </w:pP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附</w:t>
      </w:r>
      <w:r>
        <w:rPr>
          <w:color w:val="auto"/>
          <w:spacing w:val="0"/>
          <w:sz w:val="24"/>
          <w:szCs w:val="24"/>
          <w:highlight w:val="none"/>
        </w:rPr>
        <w:t>2</w:t>
      </w:r>
      <w:r>
        <w:rPr>
          <w:rFonts w:hint="eastAsia" w:ascii="宋体" w:hAnsi="宋体" w:eastAsia="宋体" w:cs="宋体"/>
          <w:color w:val="auto"/>
          <w:spacing w:val="0"/>
          <w:sz w:val="24"/>
          <w:szCs w:val="24"/>
          <w:highlight w:val="none"/>
        </w:rPr>
        <w:t>：采购标的一览表</w:t>
      </w:r>
      <w:r>
        <w:rPr>
          <w:color w:val="auto"/>
          <w:spacing w:val="0"/>
          <w:sz w:val="24"/>
          <w:szCs w:val="24"/>
          <w:highlight w:val="none"/>
        </w:rPr>
        <w:t> </w:t>
      </w:r>
    </w:p>
    <w:p>
      <w:pPr>
        <w:pStyle w:val="16"/>
        <w:keepNext w:val="0"/>
        <w:keepLines w:val="0"/>
        <w:widowControl/>
        <w:suppressLineNumbers w:val="0"/>
        <w:jc w:val="right"/>
        <w:rPr>
          <w:rStyle w:val="22"/>
          <w:rFonts w:hint="eastAsia" w:ascii="宋体" w:hAnsi="宋体" w:eastAsia="宋体" w:cs="宋体"/>
          <w:color w:val="auto"/>
          <w:spacing w:val="0"/>
          <w:sz w:val="31"/>
          <w:szCs w:val="31"/>
          <w:highlight w:val="none"/>
        </w:rPr>
      </w:pPr>
      <w:r>
        <w:rPr>
          <w:rFonts w:hint="eastAsia" w:ascii="宋体" w:hAnsi="宋体" w:eastAsia="宋体" w:cs="宋体"/>
          <w:color w:val="auto"/>
          <w:highlight w:val="none"/>
        </w:rPr>
        <w:t>金额单位：人民币元</w:t>
      </w:r>
      <w:r>
        <w:rPr>
          <w:color w:val="auto"/>
          <w:highlight w:val="none"/>
        </w:rPr>
        <w:t xml:space="preserve"> </w:t>
      </w:r>
    </w:p>
    <w:tbl>
      <w:tblPr>
        <w:tblStyle w:val="19"/>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78"/>
        <w:gridCol w:w="1806"/>
        <w:gridCol w:w="873"/>
        <w:gridCol w:w="1197"/>
        <w:gridCol w:w="1226"/>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35" w:type="dxa"/>
            <w:vAlign w:val="center"/>
          </w:tcPr>
          <w:p>
            <w:pPr>
              <w:keepNext w:val="0"/>
              <w:keepLines w:val="0"/>
              <w:pageBreakBefore w:val="0"/>
              <w:tabs>
                <w:tab w:val="center" w:pos="4500"/>
                <w:tab w:val="left" w:pos="705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合同包</w:t>
            </w:r>
          </w:p>
        </w:tc>
        <w:tc>
          <w:tcPr>
            <w:tcW w:w="1978" w:type="dxa"/>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cs="宋体"/>
                <w:b/>
                <w:color w:val="auto"/>
                <w:kern w:val="0"/>
                <w:sz w:val="22"/>
                <w:szCs w:val="22"/>
                <w:highlight w:val="none"/>
                <w:lang w:bidi="ar"/>
              </w:rPr>
              <w:t>货物名称</w:t>
            </w:r>
          </w:p>
        </w:tc>
        <w:tc>
          <w:tcPr>
            <w:tcW w:w="1806" w:type="dxa"/>
            <w:vAlign w:val="center"/>
          </w:tcPr>
          <w:p>
            <w:pPr>
              <w:pStyle w:val="12"/>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主要技术规格</w:t>
            </w:r>
          </w:p>
        </w:tc>
        <w:tc>
          <w:tcPr>
            <w:tcW w:w="873" w:type="dxa"/>
            <w:vAlign w:val="center"/>
          </w:tcPr>
          <w:p>
            <w:pPr>
              <w:pStyle w:val="12"/>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197" w:type="dxa"/>
            <w:vAlign w:val="center"/>
          </w:tcPr>
          <w:p>
            <w:pPr>
              <w:pStyle w:val="12"/>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品目号最高限价</w:t>
            </w:r>
          </w:p>
        </w:tc>
        <w:tc>
          <w:tcPr>
            <w:tcW w:w="1226" w:type="dxa"/>
            <w:vAlign w:val="center"/>
          </w:tcPr>
          <w:p>
            <w:pPr>
              <w:pStyle w:val="12"/>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合同包最高限价</w:t>
            </w:r>
          </w:p>
        </w:tc>
        <w:tc>
          <w:tcPr>
            <w:tcW w:w="990" w:type="dxa"/>
            <w:vAlign w:val="center"/>
          </w:tcPr>
          <w:p>
            <w:pPr>
              <w:pStyle w:val="12"/>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990" w:type="dxa"/>
            <w:vAlign w:val="center"/>
          </w:tcPr>
          <w:p>
            <w:pPr>
              <w:pStyle w:val="16"/>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宋体" w:hAnsi="宋体" w:eastAsia="宋体" w:cs="宋体"/>
                <w:color w:val="auto"/>
                <w:sz w:val="24"/>
                <w:szCs w:val="24"/>
                <w:highlight w:val="none"/>
              </w:rPr>
            </w:pPr>
            <w:r>
              <w:rPr>
                <w:color w:val="auto"/>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735" w:type="dxa"/>
            <w:vAlign w:val="center"/>
          </w:tcPr>
          <w:p>
            <w:pPr>
              <w:pStyle w:val="12"/>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78" w:type="dxa"/>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color w:val="auto"/>
                <w:sz w:val="24"/>
                <w:highlight w:val="none"/>
              </w:rPr>
              <w:t>湄洲岛园林绿化养护洒水车采购</w:t>
            </w:r>
          </w:p>
        </w:tc>
        <w:tc>
          <w:tcPr>
            <w:tcW w:w="1806" w:type="dxa"/>
            <w:vAlign w:val="center"/>
          </w:tcPr>
          <w:p>
            <w:pPr>
              <w:keepNext w:val="0"/>
              <w:keepLines w:val="0"/>
              <w:pageBreakBefore w:val="0"/>
              <w:tabs>
                <w:tab w:val="center" w:pos="4500"/>
                <w:tab w:val="left" w:pos="705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详见第</w:t>
            </w:r>
            <w:r>
              <w:rPr>
                <w:rFonts w:hint="eastAsia" w:ascii="宋体" w:hAnsi="宋体" w:cs="宋体"/>
                <w:color w:val="auto"/>
                <w:sz w:val="24"/>
                <w:szCs w:val="24"/>
                <w:highlight w:val="none"/>
                <w:lang w:val="en-US" w:eastAsia="zh-CN"/>
              </w:rPr>
              <w:t>五章招标</w:t>
            </w:r>
            <w:r>
              <w:rPr>
                <w:rFonts w:hint="eastAsia" w:ascii="宋体" w:hAnsi="宋体" w:eastAsia="宋体" w:cs="宋体"/>
                <w:color w:val="auto"/>
                <w:sz w:val="24"/>
                <w:szCs w:val="24"/>
                <w:highlight w:val="none"/>
              </w:rPr>
              <w:t>内容及要求</w:t>
            </w:r>
          </w:p>
        </w:tc>
        <w:tc>
          <w:tcPr>
            <w:tcW w:w="873"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辆</w:t>
            </w:r>
          </w:p>
        </w:tc>
        <w:tc>
          <w:tcPr>
            <w:tcW w:w="1197"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highlight w:val="none"/>
                <w:lang w:val="en-US" w:eastAsia="zh-CN"/>
              </w:rPr>
              <w:t>332333</w:t>
            </w:r>
          </w:p>
        </w:tc>
        <w:tc>
          <w:tcPr>
            <w:tcW w:w="1226"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highlight w:val="none"/>
                <w:lang w:val="en-US" w:eastAsia="zh-CN"/>
              </w:rPr>
              <w:t>332333</w:t>
            </w:r>
          </w:p>
        </w:tc>
        <w:tc>
          <w:tcPr>
            <w:tcW w:w="990" w:type="dxa"/>
            <w:vAlign w:val="center"/>
          </w:tcPr>
          <w:p>
            <w:pPr>
              <w:pStyle w:val="12"/>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33</w:t>
            </w:r>
            <w:r>
              <w:rPr>
                <w:rFonts w:hint="eastAsia" w:ascii="宋体" w:hAnsi="宋体" w:eastAsia="宋体" w:cs="宋体"/>
                <w:color w:val="auto"/>
                <w:sz w:val="24"/>
                <w:szCs w:val="24"/>
                <w:highlight w:val="none"/>
                <w:lang w:val="en-US" w:eastAsia="zh-CN"/>
              </w:rPr>
              <w:t>00</w:t>
            </w:r>
          </w:p>
        </w:tc>
        <w:tc>
          <w:tcPr>
            <w:tcW w:w="990" w:type="dxa"/>
            <w:vAlign w:val="center"/>
          </w:tcPr>
          <w:p>
            <w:pPr>
              <w:pStyle w:val="16"/>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jc w:val="center"/>
              <w:textAlignment w:val="auto"/>
              <w:rPr>
                <w:rFonts w:hint="eastAsia"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工业</w:t>
            </w:r>
          </w:p>
        </w:tc>
      </w:tr>
    </w:tbl>
    <w:p>
      <w:pPr>
        <w:spacing w:before="120" w:beforeLines="50" w:line="360" w:lineRule="auto"/>
        <w:ind w:firstLine="354" w:firstLineChars="147"/>
        <w:rPr>
          <w:rFonts w:hint="eastAsia" w:ascii="宋体" w:hAnsi="宋体"/>
          <w:b/>
          <w:color w:val="auto"/>
          <w:sz w:val="24"/>
          <w:highlight w:val="none"/>
        </w:rPr>
      </w:pPr>
      <w:r>
        <w:rPr>
          <w:rFonts w:hint="eastAsia" w:ascii="宋体" w:hAnsi="宋体"/>
          <w:b/>
          <w:color w:val="auto"/>
          <w:sz w:val="24"/>
          <w:highlight w:val="none"/>
        </w:rPr>
        <w:t>备注：</w:t>
      </w:r>
    </w:p>
    <w:p>
      <w:pPr>
        <w:spacing w:line="460" w:lineRule="exact"/>
        <w:ind w:firstLine="360" w:firstLineChars="150"/>
        <w:jc w:val="left"/>
        <w:rPr>
          <w:rFonts w:hint="eastAsia" w:ascii="宋体" w:hAnsi="宋体"/>
          <w:color w:val="auto"/>
          <w:sz w:val="24"/>
          <w:highlight w:val="none"/>
        </w:rPr>
      </w:pPr>
      <w:r>
        <w:rPr>
          <w:rFonts w:hint="eastAsia" w:ascii="宋体" w:hAnsi="宋体"/>
          <w:color w:val="auto"/>
          <w:sz w:val="24"/>
          <w:highlight w:val="none"/>
        </w:rPr>
        <w:t>1、投标人应按合同包报价，对同一合同包内所有品目号内容报价时必须完整。评标与授标以合同包为单位。</w:t>
      </w:r>
    </w:p>
    <w:p>
      <w:pPr>
        <w:spacing w:line="460" w:lineRule="exact"/>
        <w:ind w:firstLine="360" w:firstLineChars="150"/>
        <w:jc w:val="left"/>
        <w:rPr>
          <w:rFonts w:hint="eastAsia" w:ascii="宋体" w:hAnsi="宋体"/>
          <w:color w:val="auto"/>
          <w:sz w:val="24"/>
          <w:highlight w:val="none"/>
        </w:rPr>
      </w:pPr>
      <w:r>
        <w:rPr>
          <w:rFonts w:hint="eastAsia" w:ascii="宋体" w:hAnsi="宋体"/>
          <w:color w:val="auto"/>
          <w:sz w:val="24"/>
          <w:highlight w:val="none"/>
        </w:rPr>
        <w:t>2、本项目设有最高限价，超过最高限价的投标为无效投标。</w:t>
      </w:r>
    </w:p>
    <w:p>
      <w:pPr>
        <w:spacing w:line="460" w:lineRule="exact"/>
        <w:ind w:firstLine="360" w:firstLineChars="150"/>
        <w:jc w:val="left"/>
        <w:rPr>
          <w:rFonts w:hint="eastAsia" w:ascii="宋体"/>
          <w:b/>
          <w:color w:val="auto"/>
          <w:sz w:val="24"/>
          <w:highlight w:val="none"/>
        </w:rPr>
      </w:pPr>
      <w:r>
        <w:rPr>
          <w:rFonts w:hint="eastAsia" w:ascii="宋体" w:hAnsi="宋体"/>
          <w:color w:val="auto"/>
          <w:sz w:val="24"/>
          <w:highlight w:val="none"/>
        </w:rPr>
        <w:t>3、</w:t>
      </w:r>
      <w:r>
        <w:rPr>
          <w:rFonts w:hint="eastAsia" w:ascii="宋体" w:hAnsi="宋体"/>
          <w:b/>
          <w:bCs/>
          <w:color w:val="auto"/>
          <w:kern w:val="0"/>
          <w:sz w:val="24"/>
          <w:highlight w:val="none"/>
        </w:rPr>
        <w:t>本项目为交钥匙工程，报价为货物送达采购人指定地点，经采购人验收合格并交货完毕后所有可能发生的费用。</w:t>
      </w:r>
      <w:r>
        <w:rPr>
          <w:rFonts w:hint="eastAsia" w:ascii="宋体" w:hAnsi="宋体" w:cs="宋体"/>
          <w:b/>
          <w:bCs/>
          <w:color w:val="auto"/>
          <w:sz w:val="24"/>
          <w:highlight w:val="none"/>
        </w:rPr>
        <w:t>投标人的报价应包含单价和总价。响应总价应为货物送达采购人指定地点、经采购人验收合格并交付使用及售后服务等所有可能发生的费用，包括货物制造、运输、采购保管、安装调试、国家法定送检的检验检测报告费用、上岛费、车辆购置税、车辆上牌费用、车辆保险费（含强制险、车损险、第三者险150万、车上人员每座5万、玻璃险）、税收、厂家同期相关的无偿（有价）的促销、售后服务等费用。投标报价保留小数点后两位。投标人所投设备必须是成套设备，用户不需要增购其他设备（配件）即可正常使用。</w:t>
      </w:r>
    </w:p>
    <w:p>
      <w:pPr>
        <w:spacing w:line="460" w:lineRule="exact"/>
        <w:ind w:firstLine="360" w:firstLineChars="150"/>
        <w:jc w:val="left"/>
        <w:rPr>
          <w:rFonts w:hint="eastAsia" w:ascii="宋体" w:hAnsi="宋体"/>
          <w:color w:val="auto"/>
          <w:sz w:val="24"/>
          <w:highlight w:val="none"/>
        </w:rPr>
      </w:pPr>
      <w:r>
        <w:rPr>
          <w:rFonts w:hint="eastAsia" w:ascii="宋体" w:hAnsi="宋体"/>
          <w:color w:val="auto"/>
          <w:sz w:val="24"/>
          <w:highlight w:val="none"/>
        </w:rPr>
        <w:t>4、如投标人需踏勘现场请自行踏勘。投标人一旦中标，即视为已行使上述权利，表明投标人完全了解现场情况，自愿承担由此引起的一切不利自己的风险后果，并自愿承担相关责任。</w:t>
      </w:r>
    </w:p>
    <w:p>
      <w:pPr>
        <w:spacing w:line="300" w:lineRule="auto"/>
        <w:ind w:firstLine="240" w:firstLineChars="100"/>
        <w:rPr>
          <w:rFonts w:hint="eastAsia" w:ascii="宋体" w:hAnsi="宋体"/>
          <w:color w:val="auto"/>
          <w:sz w:val="24"/>
          <w:highlight w:val="none"/>
        </w:rPr>
      </w:pPr>
      <w:r>
        <w:rPr>
          <w:rFonts w:hint="eastAsia" w:ascii="宋体" w:hAnsi="宋体"/>
          <w:color w:val="auto"/>
          <w:sz w:val="24"/>
          <w:highlight w:val="none"/>
        </w:rPr>
        <w:t>5、所投车辆的车漆必须按采购人要求进行喷图，必须是原厂车漆，采购人不接受出厂后改装的车漆。</w:t>
      </w:r>
    </w:p>
    <w:p>
      <w:pPr>
        <w:rPr>
          <w:rStyle w:val="22"/>
          <w:rFonts w:hint="eastAsia" w:ascii="宋体" w:hAnsi="宋体" w:eastAsia="宋体" w:cs="宋体"/>
          <w:color w:val="auto"/>
          <w:spacing w:val="0"/>
          <w:sz w:val="31"/>
          <w:szCs w:val="31"/>
          <w:highlight w:val="none"/>
        </w:rPr>
      </w:pPr>
      <w:r>
        <w:rPr>
          <w:rStyle w:val="22"/>
          <w:rFonts w:hint="eastAsia" w:ascii="宋体" w:hAnsi="宋体" w:eastAsia="宋体" w:cs="宋体"/>
          <w:color w:val="auto"/>
          <w:spacing w:val="0"/>
          <w:sz w:val="31"/>
          <w:szCs w:val="31"/>
          <w:highlight w:val="none"/>
        </w:rPr>
        <w:br w:type="page"/>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31"/>
          <w:szCs w:val="31"/>
          <w:highlight w:val="none"/>
        </w:rPr>
        <w:t>第二章</w:t>
      </w:r>
      <w:r>
        <w:rPr>
          <w:rStyle w:val="22"/>
          <w:color w:val="auto"/>
          <w:spacing w:val="0"/>
          <w:sz w:val="31"/>
          <w:szCs w:val="31"/>
          <w:highlight w:val="none"/>
        </w:rPr>
        <w:t>   </w:t>
      </w:r>
      <w:r>
        <w:rPr>
          <w:rStyle w:val="22"/>
          <w:rFonts w:hint="eastAsia" w:ascii="宋体" w:hAnsi="宋体" w:eastAsia="宋体" w:cs="宋体"/>
          <w:color w:val="auto"/>
          <w:spacing w:val="0"/>
          <w:sz w:val="31"/>
          <w:szCs w:val="31"/>
          <w:highlight w:val="none"/>
        </w:rPr>
        <w:t>投标人须知前附表（表1、</w:t>
      </w:r>
      <w:r>
        <w:rPr>
          <w:rStyle w:val="22"/>
          <w:rFonts w:hint="default" w:ascii="Times New Roman" w:hAnsi="Times New Roman" w:cs="Times New Roman"/>
          <w:color w:val="auto"/>
          <w:spacing w:val="0"/>
          <w:sz w:val="31"/>
          <w:szCs w:val="31"/>
          <w:highlight w:val="none"/>
        </w:rPr>
        <w:t>2</w:t>
      </w:r>
      <w:r>
        <w:rPr>
          <w:rStyle w:val="22"/>
          <w:rFonts w:hint="eastAsia" w:ascii="宋体" w:hAnsi="宋体" w:eastAsia="宋体" w:cs="宋体"/>
          <w:color w:val="auto"/>
          <w:spacing w:val="0"/>
          <w:sz w:val="31"/>
          <w:szCs w:val="31"/>
          <w:highlight w:val="none"/>
        </w:rPr>
        <w:t>）</w:t>
      </w:r>
    </w:p>
    <w:p>
      <w:pPr>
        <w:pStyle w:val="16"/>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6"/>
        <w:keepNext w:val="0"/>
        <w:keepLines w:val="0"/>
        <w:widowControl/>
        <w:suppressLineNumbers w:val="0"/>
        <w:spacing w:before="75" w:beforeAutospacing="0" w:after="240" w:afterAutospacing="0"/>
        <w:ind w:left="0" w:right="0" w:firstLine="0"/>
        <w:jc w:val="center"/>
        <w:rPr>
          <w:color w:val="auto"/>
          <w:highlight w:val="none"/>
        </w:rPr>
      </w:pPr>
      <w:r>
        <w:rPr>
          <w:rStyle w:val="22"/>
          <w:rFonts w:hint="eastAsia" w:ascii="宋体" w:hAnsi="宋体" w:eastAsia="宋体" w:cs="宋体"/>
          <w:color w:val="auto"/>
          <w:highlight w:val="none"/>
        </w:rPr>
        <w:t>一、投标人须知前附表1</w:t>
      </w:r>
    </w:p>
    <w:tbl>
      <w:tblPr>
        <w:tblStyle w:val="19"/>
        <w:tblW w:w="9579"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65"/>
        <w:gridCol w:w="1364"/>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519" w:type="dxa"/>
            <w:gridSpan w:val="3"/>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Style w:val="22"/>
                <w:rFonts w:hint="eastAsia" w:ascii="宋体" w:hAnsi="宋体" w:eastAsia="宋体" w:cs="宋体"/>
                <w:color w:val="auto"/>
                <w:spacing w:val="0"/>
                <w:sz w:val="24"/>
                <w:szCs w:val="24"/>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项号</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招标文件</w:t>
            </w:r>
          </w:p>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（第三章）</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6.1</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是否组织现场考察或召开开标前答疑会：</w:t>
            </w:r>
            <w:r>
              <w:rPr>
                <w:rFonts w:hint="eastAsia" w:ascii="宋体" w:hAnsi="宋体" w:eastAsia="宋体" w:cs="宋体"/>
                <w:color w:val="auto"/>
                <w:spacing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2</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10.4</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投标文件的份数：</w:t>
            </w:r>
          </w:p>
          <w:p>
            <w:pPr>
              <w:autoSpaceDN w:val="0"/>
              <w:spacing w:line="435" w:lineRule="atLeas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eastAsia="zh-CN"/>
              </w:rPr>
              <w:t>投标</w:t>
            </w:r>
            <w:r>
              <w:rPr>
                <w:rFonts w:ascii="宋体" w:hAnsi="宋体"/>
                <w:color w:val="auto"/>
                <w:sz w:val="24"/>
                <w:highlight w:val="none"/>
              </w:rPr>
              <w:t>文件正本</w:t>
            </w:r>
            <w:r>
              <w:rPr>
                <w:rFonts w:hint="eastAsia" w:ascii="宋体" w:hAnsi="宋体"/>
                <w:color w:val="auto"/>
                <w:sz w:val="24"/>
                <w:highlight w:val="none"/>
                <w:u w:val="single"/>
                <w:lang w:val="en-US" w:eastAsia="zh-CN"/>
              </w:rPr>
              <w:t xml:space="preserve"> 1 </w:t>
            </w:r>
            <w:r>
              <w:rPr>
                <w:rFonts w:ascii="宋体" w:hAnsi="宋体"/>
                <w:color w:val="auto"/>
                <w:sz w:val="24"/>
                <w:highlight w:val="none"/>
              </w:rPr>
              <w:t>份、副本</w:t>
            </w:r>
            <w:r>
              <w:rPr>
                <w:rFonts w:hint="eastAsia" w:ascii="宋体" w:hAnsi="宋体"/>
                <w:color w:val="auto"/>
                <w:sz w:val="24"/>
                <w:highlight w:val="none"/>
                <w:u w:val="single"/>
                <w:lang w:val="en-US" w:eastAsia="zh-CN"/>
              </w:rPr>
              <w:t xml:space="preserve"> 2 </w:t>
            </w:r>
            <w:r>
              <w:rPr>
                <w:rFonts w:ascii="宋体" w:hAnsi="宋体"/>
                <w:color w:val="auto"/>
                <w:sz w:val="24"/>
                <w:highlight w:val="none"/>
              </w:rPr>
              <w:t>份。</w:t>
            </w:r>
          </w:p>
          <w:p>
            <w:pPr>
              <w:autoSpaceDN w:val="0"/>
              <w:spacing w:line="435" w:lineRule="atLeast"/>
              <w:ind w:left="240" w:hanging="240" w:hangingChars="100"/>
              <w:rPr>
                <w:rFonts w:hint="eastAsia"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可读介质（光盘或U盘）</w:t>
            </w:r>
            <w:r>
              <w:rPr>
                <w:rFonts w:ascii="宋体" w:hAnsi="宋体"/>
                <w:color w:val="auto"/>
                <w:sz w:val="24"/>
                <w:highlight w:val="none"/>
                <w:u w:val="single"/>
              </w:rPr>
              <w:t>1</w:t>
            </w:r>
            <w:r>
              <w:rPr>
                <w:rFonts w:ascii="宋体" w:hAnsi="宋体"/>
                <w:color w:val="auto"/>
                <w:sz w:val="24"/>
                <w:highlight w:val="none"/>
              </w:rPr>
              <w:t>份。</w:t>
            </w:r>
            <w:r>
              <w:rPr>
                <w:rFonts w:hint="eastAsia" w:ascii="宋体" w:hAnsi="宋体"/>
                <w:color w:val="auto"/>
                <w:sz w:val="24"/>
                <w:highlight w:val="none"/>
              </w:rPr>
              <w:t xml:space="preserve">                                </w:t>
            </w:r>
          </w:p>
          <w:p>
            <w:pPr>
              <w:pStyle w:val="16"/>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cs="宋体"/>
                <w:color w:val="auto"/>
                <w:sz w:val="24"/>
                <w:highlight w:val="none"/>
                <w:shd w:val="clear" w:color="auto" w:fill="FFFFFF"/>
              </w:rPr>
              <w:t>全部响应文件包括正本、副本、电子文本均应密封。</w:t>
            </w:r>
            <w:r>
              <w:rPr>
                <w:rFonts w:hint="eastAsia" w:ascii="宋体" w:hAnsi="宋体" w:cs="宋体"/>
                <w:b/>
                <w:color w:val="auto"/>
                <w:sz w:val="24"/>
                <w:highlight w:val="none"/>
                <w:shd w:val="clear" w:color="auto" w:fill="FFFFFF"/>
              </w:rPr>
              <w:t>未密封将导致</w:t>
            </w:r>
            <w:r>
              <w:rPr>
                <w:rFonts w:hint="eastAsia" w:ascii="宋体" w:hAnsi="宋体" w:cs="宋体"/>
                <w:b/>
                <w:color w:val="auto"/>
                <w:sz w:val="24"/>
                <w:highlight w:val="none"/>
                <w:shd w:val="clear" w:color="auto" w:fill="FFFFFF"/>
                <w:lang w:eastAsia="zh-CN"/>
              </w:rPr>
              <w:t>投标</w:t>
            </w:r>
            <w:r>
              <w:rPr>
                <w:rFonts w:hint="eastAsia" w:ascii="宋体" w:hAnsi="宋体" w:cs="宋体"/>
                <w:b/>
                <w:color w:val="auto"/>
                <w:sz w:val="24"/>
                <w:highlight w:val="none"/>
                <w:shd w:val="clear" w:color="auto" w:fill="FFFFFF"/>
              </w:rPr>
              <w:t>文件被拒收。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keepNext w:val="0"/>
              <w:keepLines w:val="0"/>
              <w:widowControl/>
              <w:suppressLineNumbers w:val="0"/>
              <w:wordWrap w:val="0"/>
              <w:jc w:val="center"/>
              <w:rPr>
                <w:color w:val="auto"/>
                <w:highlight w:val="none"/>
              </w:rPr>
            </w:pPr>
            <w:r>
              <w:rPr>
                <w:rFonts w:hint="eastAsia" w:ascii="宋体" w:hAnsi="宋体" w:eastAsia="宋体" w:cs="宋体"/>
                <w:color w:val="auto"/>
                <w:kern w:val="0"/>
                <w:sz w:val="24"/>
                <w:szCs w:val="24"/>
                <w:highlight w:val="none"/>
                <w:lang w:val="en-US" w:eastAsia="zh-CN" w:bidi="ar"/>
              </w:rPr>
              <w:t>3</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 10.7-（</w:t>
            </w:r>
            <w:r>
              <w:rPr>
                <w:rFonts w:hint="default" w:ascii="Times New Roman" w:hAnsi="Times New Roman" w:cs="Times New Roman"/>
                <w:color w:val="auto"/>
                <w:spacing w:val="0"/>
                <w:sz w:val="24"/>
                <w:szCs w:val="24"/>
                <w:highlight w:val="none"/>
              </w:rPr>
              <w:t>1</w:t>
            </w:r>
            <w:r>
              <w:rPr>
                <w:rFonts w:hint="eastAsia" w:ascii="宋体" w:hAnsi="宋体" w:eastAsia="宋体" w:cs="宋体"/>
                <w:color w:val="auto"/>
                <w:spacing w:val="0"/>
                <w:sz w:val="24"/>
                <w:szCs w:val="24"/>
                <w:highlight w:val="none"/>
              </w:rPr>
              <w:t>）</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是否允许中标人将本项目的非主体、非关键性工作进行分包：</w:t>
            </w:r>
          </w:p>
          <w:p>
            <w:pPr>
              <w:pStyle w:val="16"/>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4</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10.8-（</w:t>
            </w:r>
            <w:r>
              <w:rPr>
                <w:rFonts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投标有效期</w:t>
            </w:r>
            <w:r>
              <w:rPr>
                <w:rFonts w:hint="eastAsia" w:ascii="宋体" w:hAnsi="宋体" w:eastAsia="宋体" w:cs="宋体"/>
                <w:color w:val="auto"/>
                <w:spacing w:val="0"/>
                <w:sz w:val="24"/>
                <w:szCs w:val="24"/>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5</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12.1</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本项目推荐项目包1中标候选人数为1家。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75" w:type="dxa"/>
              <w:left w:w="150" w:type="dxa"/>
              <w:bottom w:w="75" w:type="dxa"/>
              <w:right w:w="150" w:type="dxa"/>
            </w:tcMar>
            <w:vAlign w:val="center"/>
          </w:tcPr>
          <w:p>
            <w:pPr>
              <w:pStyle w:val="16"/>
              <w:keepNext w:val="0"/>
              <w:keepLines w:val="0"/>
              <w:widowControl/>
              <w:suppressLineNumbers w:val="0"/>
              <w:wordWrap w:val="0"/>
              <w:spacing w:before="0" w:beforeAutospacing="0" w:after="0" w:afterAutospacing="0"/>
              <w:ind w:left="0" w:right="0" w:firstLine="0"/>
              <w:rPr>
                <w:color w:val="auto"/>
                <w:highlight w:val="none"/>
              </w:rPr>
            </w:pPr>
            <w:r>
              <w:rPr>
                <w:color w:val="auto"/>
                <w:spacing w:val="0"/>
                <w:sz w:val="24"/>
                <w:szCs w:val="24"/>
                <w:highlight w:val="none"/>
              </w:rPr>
              <w:t xml:space="preserve">  </w:t>
            </w:r>
            <w:r>
              <w:rPr>
                <w:rFonts w:hint="eastAsia" w:ascii="宋体" w:hAnsi="宋体" w:eastAsia="宋体" w:cs="宋体"/>
                <w:color w:val="auto"/>
                <w:spacing w:val="0"/>
                <w:sz w:val="24"/>
                <w:szCs w:val="24"/>
                <w:highlight w:val="none"/>
              </w:rPr>
              <w:t>6</w:t>
            </w:r>
          </w:p>
        </w:tc>
        <w:tc>
          <w:tcPr>
            <w:tcW w:w="1334" w:type="dxa"/>
            <w:shd w:val="clear" w:color="auto" w:fill="auto"/>
            <w:tcMar>
              <w:top w:w="75" w:type="dxa"/>
              <w:left w:w="150" w:type="dxa"/>
              <w:bottom w:w="75" w:type="dxa"/>
              <w:right w:w="150" w:type="dxa"/>
            </w:tcMar>
            <w:vAlign w:val="center"/>
          </w:tcPr>
          <w:p>
            <w:pPr>
              <w:pStyle w:val="16"/>
              <w:keepNext w:val="0"/>
              <w:keepLines w:val="0"/>
              <w:widowControl/>
              <w:suppressLineNumbers w:val="0"/>
              <w:wordWrap w:val="0"/>
              <w:spacing w:before="0" w:beforeAutospacing="0" w:after="0" w:afterAutospacing="0"/>
              <w:ind w:left="0" w:right="0" w:firstLine="0"/>
              <w:jc w:val="center"/>
              <w:rPr>
                <w:color w:val="auto"/>
                <w:highlight w:val="none"/>
              </w:rPr>
            </w:pPr>
            <w:r>
              <w:rPr>
                <w:rFonts w:hint="eastAsia" w:ascii="宋体" w:hAnsi="宋体" w:eastAsia="宋体" w:cs="宋体"/>
                <w:color w:val="auto"/>
                <w:spacing w:val="0"/>
                <w:sz w:val="24"/>
                <w:szCs w:val="24"/>
                <w:highlight w:val="none"/>
              </w:rPr>
              <w:t>12.2</w:t>
            </w:r>
          </w:p>
        </w:tc>
        <w:tc>
          <w:tcPr>
            <w:tcW w:w="7605" w:type="dxa"/>
            <w:shd w:val="clear" w:color="auto" w:fill="auto"/>
            <w:tcMar>
              <w:top w:w="75" w:type="dxa"/>
              <w:left w:w="150" w:type="dxa"/>
              <w:bottom w:w="75" w:type="dxa"/>
              <w:right w:w="150" w:type="dxa"/>
            </w:tcMar>
            <w:vAlign w:val="center"/>
          </w:tcPr>
          <w:p>
            <w:pPr>
              <w:pStyle w:val="16"/>
              <w:keepNext w:val="0"/>
              <w:keepLines w:val="0"/>
              <w:widowControl/>
              <w:suppressLineNumbers w:val="0"/>
              <w:wordWrap w:val="0"/>
              <w:spacing w:before="0" w:beforeAutospacing="0" w:after="0" w:afterAutospacing="0"/>
              <w:ind w:left="0" w:right="0" w:firstLine="0"/>
              <w:rPr>
                <w:color w:val="auto"/>
                <w:highlight w:val="none"/>
              </w:rPr>
            </w:pPr>
            <w:r>
              <w:rPr>
                <w:rStyle w:val="22"/>
                <w:rFonts w:hint="eastAsia" w:ascii="宋体" w:hAnsi="宋体" w:eastAsia="宋体" w:cs="宋体"/>
                <w:color w:val="auto"/>
                <w:spacing w:val="0"/>
                <w:sz w:val="24"/>
                <w:szCs w:val="24"/>
                <w:highlight w:val="none"/>
              </w:rPr>
              <w:t>本项目中标人的确定（以采购包为单位）：</w:t>
            </w:r>
          </w:p>
          <w:p>
            <w:pPr>
              <w:pStyle w:val="16"/>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（1）采购人应在政府采购招投标管理办法规定的时限内确定中标人。</w:t>
            </w:r>
          </w:p>
          <w:p>
            <w:pPr>
              <w:pStyle w:val="16"/>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（2）若出现中标候选人并列情形，则按照下列方式确定中标人：</w:t>
            </w:r>
          </w:p>
          <w:p>
            <w:pPr>
              <w:pStyle w:val="16"/>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①招标文件规定的方式：</w:t>
            </w:r>
            <w:r>
              <w:rPr>
                <w:color w:val="auto"/>
                <w:spacing w:val="0"/>
                <w:sz w:val="24"/>
                <w:szCs w:val="24"/>
                <w:highlight w:val="none"/>
              </w:rPr>
              <w:t>无</w:t>
            </w:r>
            <w:r>
              <w:rPr>
                <w:rFonts w:hint="eastAsia" w:ascii="宋体" w:hAnsi="宋体" w:eastAsia="宋体" w:cs="宋体"/>
                <w:color w:val="auto"/>
                <w:spacing w:val="0"/>
                <w:sz w:val="24"/>
                <w:szCs w:val="24"/>
                <w:highlight w:val="none"/>
              </w:rPr>
              <w:t>。</w:t>
            </w:r>
          </w:p>
          <w:p>
            <w:pPr>
              <w:pStyle w:val="16"/>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②若本款第①点规定方式为“无”，则按照下列方式确定：无。</w:t>
            </w:r>
          </w:p>
          <w:p>
            <w:pPr>
              <w:pStyle w:val="16"/>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③若本款第①、②点规定方式均为“无”，则按照下列方式确定：随机抽取。</w:t>
            </w:r>
          </w:p>
          <w:p>
            <w:pPr>
              <w:pStyle w:val="16"/>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（3）本项目确定的中标人家数：</w:t>
            </w:r>
            <w:r>
              <w:rPr>
                <w:rFonts w:hint="eastAsia" w:ascii="宋体" w:hAnsi="宋体" w:eastAsia="宋体" w:cs="宋体"/>
                <w:color w:val="auto"/>
                <w:spacing w:val="0"/>
                <w:highlight w:val="none"/>
              </w:rPr>
              <w:t>本项目确定项目包1中标人数为1家；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51" w:hRule="atLeast"/>
          <w:tblCellSpacing w:w="15" w:type="dxa"/>
        </w:trPr>
        <w:tc>
          <w:tcPr>
            <w:tcW w:w="520" w:type="dxa"/>
            <w:shd w:val="clear" w:color="auto" w:fill="auto"/>
            <w:vAlign w:val="center"/>
          </w:tcPr>
          <w:p>
            <w:pPr>
              <w:keepNext w:val="0"/>
              <w:keepLines w:val="0"/>
              <w:widowControl/>
              <w:suppressLineNumbers w:val="0"/>
              <w:wordWrap w:val="0"/>
              <w:jc w:val="center"/>
              <w:rPr>
                <w:color w:val="auto"/>
                <w:highlight w:val="none"/>
              </w:rPr>
            </w:pPr>
            <w:r>
              <w:rPr>
                <w:rFonts w:hint="eastAsia" w:ascii="宋体" w:hAnsi="宋体" w:eastAsia="宋体" w:cs="宋体"/>
                <w:color w:val="auto"/>
                <w:kern w:val="0"/>
                <w:sz w:val="24"/>
                <w:szCs w:val="24"/>
                <w:highlight w:val="none"/>
                <w:lang w:val="en-US" w:eastAsia="zh-CN" w:bidi="ar"/>
              </w:rPr>
              <w:t>7</w:t>
            </w:r>
          </w:p>
        </w:tc>
        <w:tc>
          <w:tcPr>
            <w:tcW w:w="1334" w:type="dxa"/>
            <w:shd w:val="clear" w:color="auto" w:fill="auto"/>
            <w:vAlign w:val="center"/>
          </w:tcPr>
          <w:p>
            <w:pPr>
              <w:keepNext w:val="0"/>
              <w:keepLines w:val="0"/>
              <w:widowControl/>
              <w:suppressLineNumbers w:val="0"/>
              <w:wordWrap w:val="0"/>
              <w:jc w:val="left"/>
              <w:rPr>
                <w:color w:val="auto"/>
                <w:highlight w:val="none"/>
              </w:rPr>
            </w:pPr>
            <w:r>
              <w:rPr>
                <w:rFonts w:hint="eastAsia" w:ascii="宋体" w:hAnsi="宋体" w:eastAsia="宋体" w:cs="宋体"/>
                <w:color w:val="auto"/>
                <w:spacing w:val="0"/>
                <w:kern w:val="0"/>
                <w:sz w:val="24"/>
                <w:szCs w:val="24"/>
                <w:highlight w:val="none"/>
                <w:lang w:val="en-US" w:eastAsia="zh-CN" w:bidi="ar"/>
              </w:rPr>
              <w:t>13.2</w:t>
            </w:r>
          </w:p>
        </w:tc>
        <w:tc>
          <w:tcPr>
            <w:tcW w:w="7605" w:type="dxa"/>
            <w:shd w:val="clear" w:color="auto" w:fill="auto"/>
            <w:vAlign w:val="center"/>
          </w:tcPr>
          <w:p>
            <w:pPr>
              <w:keepNext w:val="0"/>
              <w:keepLines w:val="0"/>
              <w:widowControl/>
              <w:suppressLineNumbers w:val="0"/>
              <w:wordWrap w:val="0"/>
              <w:jc w:val="left"/>
              <w:rPr>
                <w:color w:val="auto"/>
                <w:highlight w:val="none"/>
              </w:rPr>
            </w:pPr>
            <w:r>
              <w:rPr>
                <w:rStyle w:val="22"/>
                <w:rFonts w:hint="eastAsia" w:ascii="宋体" w:hAnsi="宋体" w:eastAsia="宋体" w:cs="宋体"/>
                <w:color w:val="auto"/>
                <w:spacing w:val="0"/>
                <w:kern w:val="0"/>
                <w:sz w:val="24"/>
                <w:szCs w:val="24"/>
                <w:highlight w:val="none"/>
                <w:lang w:val="en-US" w:eastAsia="zh-CN" w:bidi="ar"/>
              </w:rPr>
              <w:t>合同签订时限：自中标通知书发出之日起10个工作日内。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highlight w:val="none"/>
              </w:rPr>
              <w:t>8</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 15.1-（</w:t>
            </w:r>
            <w:r>
              <w:rPr>
                <w:rFonts w:hint="default" w:ascii="Times New Roman" w:hAnsi="Times New Roman" w:cs="Times New Roman"/>
                <w:color w:val="auto"/>
                <w:spacing w:val="0"/>
                <w:sz w:val="24"/>
                <w:szCs w:val="24"/>
                <w:highlight w:val="none"/>
              </w:rPr>
              <w:t>2</w:t>
            </w:r>
            <w:r>
              <w:rPr>
                <w:rFonts w:hint="eastAsia" w:ascii="宋体" w:hAnsi="宋体" w:eastAsia="宋体" w:cs="宋体"/>
                <w:color w:val="auto"/>
                <w:spacing w:val="0"/>
                <w:sz w:val="24"/>
                <w:szCs w:val="24"/>
                <w:highlight w:val="none"/>
              </w:rPr>
              <w:t>）</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质疑函原件应采用下列方式提交：</w:t>
            </w:r>
            <w:r>
              <w:rPr>
                <w:rFonts w:hint="eastAsia" w:ascii="宋体" w:hAnsi="宋体" w:eastAsia="宋体" w:cs="宋体"/>
                <w:color w:val="auto"/>
                <w:spacing w:val="0"/>
                <w:sz w:val="24"/>
                <w:szCs w:val="24"/>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jc w:val="center"/>
              <w:rPr>
                <w:color w:val="auto"/>
                <w:highlight w:val="none"/>
              </w:rPr>
            </w:pPr>
            <w:r>
              <w:rPr>
                <w:rFonts w:hint="eastAsia" w:ascii="宋体" w:hAnsi="宋体" w:eastAsia="宋体" w:cs="宋体"/>
                <w:color w:val="auto"/>
                <w:highlight w:val="none"/>
              </w:rPr>
              <w:t>9</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15.4</w:t>
            </w:r>
          </w:p>
          <w:p>
            <w:pPr>
              <w:pStyle w:val="16"/>
              <w:keepNext w:val="0"/>
              <w:keepLines w:val="0"/>
              <w:widowControl/>
              <w:suppressLineNumbers w:val="0"/>
              <w:spacing w:before="0" w:beforeAutospacing="0" w:after="0" w:afterAutospacing="0"/>
              <w:ind w:left="0" w:right="0"/>
              <w:rPr>
                <w:color w:val="auto"/>
                <w:highlight w:val="none"/>
              </w:rPr>
            </w:pPr>
            <w:r>
              <w:rPr>
                <w:rFonts w:hint="default" w:ascii="Calibri" w:hAnsi="Calibri" w:cs="Calibri"/>
                <w:color w:val="auto"/>
                <w:spacing w:val="0"/>
                <w:sz w:val="24"/>
                <w:szCs w:val="24"/>
                <w:highlight w:val="none"/>
              </w:rPr>
              <w:t> </w:t>
            </w:r>
          </w:p>
          <w:p>
            <w:pPr>
              <w:pStyle w:val="16"/>
              <w:keepNext w:val="0"/>
              <w:keepLines w:val="0"/>
              <w:widowControl/>
              <w:suppressLineNumbers w:val="0"/>
              <w:spacing w:before="0" w:beforeAutospacing="0" w:after="0" w:afterAutospacing="0"/>
              <w:ind w:left="0" w:right="0"/>
              <w:jc w:val="center"/>
              <w:rPr>
                <w:color w:val="auto"/>
                <w:highlight w:val="none"/>
              </w:rPr>
            </w:pPr>
            <w:r>
              <w:rPr>
                <w:rFonts w:hint="default" w:ascii="Calibri" w:hAnsi="Calibri" w:cs="Calibri"/>
                <w:color w:val="auto"/>
                <w:spacing w:val="0"/>
                <w:sz w:val="24"/>
                <w:szCs w:val="24"/>
                <w:highlight w:val="none"/>
              </w:rPr>
              <w:t> </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招标文件的质疑</w:t>
            </w:r>
          </w:p>
          <w:p>
            <w:pPr>
              <w:pStyle w:val="16"/>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（1）潜在投标人可在质疑时效期间内对招标文件以书面形式提出质疑。</w:t>
            </w:r>
          </w:p>
          <w:p>
            <w:pPr>
              <w:pStyle w:val="16"/>
              <w:keepNext w:val="0"/>
              <w:keepLines w:val="0"/>
              <w:widowControl/>
              <w:suppressLineNumbers w:val="0"/>
              <w:wordWrap w:val="0"/>
              <w:spacing w:before="0" w:beforeAutospacing="0" w:after="0" w:afterAutospacing="0"/>
              <w:ind w:left="0" w:right="0"/>
              <w:rPr>
                <w:color w:val="auto"/>
                <w:highlight w:val="none"/>
              </w:rPr>
            </w:pPr>
            <w:r>
              <w:rPr>
                <w:rFonts w:hint="eastAsia" w:ascii="宋体" w:hAnsi="宋体" w:eastAsia="宋体" w:cs="宋体"/>
                <w:color w:val="auto"/>
                <w:spacing w:val="0"/>
                <w:sz w:val="24"/>
                <w:szCs w:val="24"/>
                <w:highlight w:val="none"/>
              </w:rPr>
              <w:t>（2）质疑时效期间：应在获取招标文件之日起7个工作日内向福建亿立项目管理有限公司提出，获取招标文件的时间以</w:t>
            </w:r>
            <w:r>
              <w:rPr>
                <w:rFonts w:hint="eastAsia" w:ascii="宋体" w:hAnsi="宋体" w:cs="宋体"/>
                <w:color w:val="auto"/>
                <w:spacing w:val="0"/>
                <w:sz w:val="24"/>
                <w:szCs w:val="24"/>
                <w:highlight w:val="none"/>
                <w:lang w:eastAsia="zh-CN"/>
              </w:rPr>
              <w:t>向代理机构报名登记购买招标文件</w:t>
            </w:r>
            <w:r>
              <w:rPr>
                <w:rFonts w:hint="eastAsia" w:ascii="宋体" w:hAnsi="宋体" w:eastAsia="宋体" w:cs="宋体"/>
                <w:color w:val="auto"/>
                <w:spacing w:val="0"/>
                <w:sz w:val="24"/>
                <w:szCs w:val="24"/>
                <w:highlight w:val="none"/>
              </w:rPr>
              <w:t>记载</w:t>
            </w:r>
            <w:r>
              <w:rPr>
                <w:rFonts w:hint="eastAsia" w:ascii="宋体" w:hAnsi="宋体" w:cs="宋体"/>
                <w:color w:val="auto"/>
                <w:spacing w:val="0"/>
                <w:sz w:val="24"/>
                <w:szCs w:val="24"/>
                <w:highlight w:val="none"/>
                <w:lang w:eastAsia="zh-CN"/>
              </w:rPr>
              <w:t>时间</w:t>
            </w:r>
            <w:r>
              <w:rPr>
                <w:rFonts w:hint="eastAsia" w:ascii="宋体" w:hAnsi="宋体" w:eastAsia="宋体" w:cs="宋体"/>
                <w:color w:val="auto"/>
                <w:spacing w:val="0"/>
                <w:sz w:val="24"/>
                <w:szCs w:val="24"/>
                <w:highlight w:val="none"/>
              </w:rPr>
              <w:t>的为准。在法定质疑期内供应商针对同一采购程序环节的质疑须一次性提出，二（多）次质疑不予受理。</w:t>
            </w:r>
          </w:p>
          <w:p>
            <w:pPr>
              <w:pStyle w:val="16"/>
              <w:keepNext w:val="0"/>
              <w:keepLines w:val="0"/>
              <w:widowControl/>
              <w:suppressLineNumbers w:val="0"/>
              <w:wordWrap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※除上述规定外，对招标文件提出的质疑还应符合招标文件第三章第</w:t>
            </w:r>
            <w:r>
              <w:rPr>
                <w:rStyle w:val="22"/>
                <w:rFonts w:hint="default" w:ascii="Times New Roman" w:hAnsi="Times New Roman" w:cs="Times New Roman"/>
                <w:color w:val="auto"/>
                <w:spacing w:val="0"/>
                <w:sz w:val="24"/>
                <w:szCs w:val="24"/>
                <w:highlight w:val="none"/>
              </w:rPr>
              <w:t>15.1</w:t>
            </w:r>
            <w:r>
              <w:rPr>
                <w:rStyle w:val="22"/>
                <w:rFonts w:hint="eastAsia" w:ascii="宋体" w:hAnsi="宋体" w:eastAsia="宋体" w:cs="宋体"/>
                <w:color w:val="auto"/>
                <w:spacing w:val="0"/>
                <w:sz w:val="24"/>
                <w:szCs w:val="24"/>
                <w:highlight w:val="none"/>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10</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rFonts w:hint="default" w:ascii="Calibri" w:hAnsi="Calibri" w:eastAsia="宋体" w:cs="Calibri"/>
                <w:color w:val="auto"/>
                <w:spacing w:val="0"/>
                <w:sz w:val="24"/>
                <w:szCs w:val="24"/>
                <w:highlight w:val="none"/>
                <w:lang w:val="en-US" w:eastAsia="zh-CN"/>
              </w:rPr>
            </w:pPr>
            <w:r>
              <w:rPr>
                <w:rFonts w:hint="eastAsia" w:ascii="Calibri" w:hAnsi="Calibri" w:cs="Calibri"/>
                <w:color w:val="auto"/>
                <w:spacing w:val="0"/>
                <w:sz w:val="24"/>
                <w:szCs w:val="24"/>
                <w:highlight w:val="none"/>
                <w:lang w:val="en-US" w:eastAsia="zh-CN"/>
              </w:rPr>
              <w:t>10.9</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本批招标投标保证金为人民币</w:t>
            </w:r>
            <w:r>
              <w:rPr>
                <w:rFonts w:hint="eastAsia" w:ascii="宋体" w:hAnsi="宋体" w:eastAsia="宋体" w:cs="宋体"/>
                <w:color w:val="auto"/>
                <w:spacing w:val="0"/>
                <w:sz w:val="24"/>
                <w:szCs w:val="24"/>
                <w:highlight w:val="none"/>
              </w:rPr>
              <w:fldChar w:fldCharType="begin"/>
            </w:r>
            <w:r>
              <w:rPr>
                <w:rFonts w:hint="eastAsia" w:ascii="宋体" w:hAnsi="宋体" w:eastAsia="宋体" w:cs="宋体"/>
                <w:color w:val="auto"/>
                <w:spacing w:val="0"/>
                <w:sz w:val="24"/>
                <w:szCs w:val="24"/>
                <w:highlight w:val="none"/>
              </w:rPr>
              <w:instrText xml:space="preserve"> = 34000 \* CHINESENUM4 \* MERGEFORMAT </w:instrText>
            </w:r>
            <w:r>
              <w:rPr>
                <w:rFonts w:hint="eastAsia" w:ascii="宋体" w:hAnsi="宋体" w:eastAsia="宋体" w:cs="宋体"/>
                <w:color w:val="auto"/>
                <w:spacing w:val="0"/>
                <w:sz w:val="24"/>
                <w:szCs w:val="24"/>
                <w:highlight w:val="none"/>
              </w:rPr>
              <w:fldChar w:fldCharType="separate"/>
            </w:r>
            <w:r>
              <w:rPr>
                <w:rFonts w:hint="eastAsia" w:ascii="宋体" w:hAnsi="宋体" w:cs="宋体"/>
                <w:color w:val="auto"/>
                <w:spacing w:val="0"/>
                <w:sz w:val="24"/>
                <w:szCs w:val="24"/>
                <w:highlight w:val="none"/>
                <w:lang w:val="en-US" w:eastAsia="zh-CN"/>
              </w:rPr>
              <w:t>叁仟叁佰元</w:t>
            </w:r>
            <w:r>
              <w:rPr>
                <w:rFonts w:hint="eastAsia" w:ascii="宋体" w:hAnsi="宋体" w:eastAsia="宋体" w:cs="宋体"/>
                <w:color w:val="auto"/>
                <w:spacing w:val="0"/>
                <w:sz w:val="24"/>
                <w:szCs w:val="24"/>
                <w:highlight w:val="none"/>
              </w:rPr>
              <w:t>整</w:t>
            </w:r>
            <w:r>
              <w:rPr>
                <w:rFonts w:hint="eastAsia" w:ascii="宋体" w:hAnsi="宋体" w:eastAsia="宋体" w:cs="宋体"/>
                <w:color w:val="auto"/>
                <w:spacing w:val="0"/>
                <w:sz w:val="24"/>
                <w:szCs w:val="24"/>
                <w:highlight w:val="none"/>
              </w:rPr>
              <w:fldChar w:fldCharType="end"/>
            </w: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lang w:val="en-US" w:eastAsia="zh-CN"/>
              </w:rPr>
              <w:t>3300</w:t>
            </w:r>
            <w:r>
              <w:rPr>
                <w:rFonts w:hint="eastAsia" w:ascii="宋体" w:hAnsi="宋体" w:eastAsia="宋体" w:cs="宋体"/>
                <w:color w:val="auto"/>
                <w:spacing w:val="0"/>
                <w:sz w:val="24"/>
                <w:szCs w:val="24"/>
                <w:highlight w:val="none"/>
              </w:rPr>
              <w:t>元)，</w:t>
            </w:r>
          </w:p>
          <w:p>
            <w:pPr>
              <w:pStyle w:val="16"/>
              <w:keepNext w:val="0"/>
              <w:keepLines w:val="0"/>
              <w:widowControl/>
              <w:suppressLineNumbers w:val="0"/>
              <w:wordWrap w:val="0"/>
              <w:spacing w:before="0" w:beforeAutospacing="0" w:after="0" w:afterAutospacing="0"/>
              <w:ind w:left="0" w:right="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lang w:val="en-US" w:eastAsia="zh-CN"/>
              </w:rPr>
              <w:t>1</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投标人保证金须以投标人名义，以支票、汇票、本票或者金融机构、担保机构出具的保函、转账等非现金形式提交（不直接接受现金、现金存款方式）。</w:t>
            </w:r>
          </w:p>
          <w:p>
            <w:pPr>
              <w:pStyle w:val="16"/>
              <w:keepNext w:val="0"/>
              <w:keepLines w:val="0"/>
              <w:widowControl/>
              <w:suppressLineNumbers w:val="0"/>
              <w:wordWrap w:val="0"/>
              <w:spacing w:before="0" w:beforeAutospacing="0" w:after="0" w:afterAutospacing="0"/>
              <w:ind w:left="0" w:right="0"/>
              <w:rPr>
                <w:rStyle w:val="22"/>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lang w:val="en-US" w:eastAsia="zh-CN"/>
              </w:rPr>
              <w:t>2</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投标人采用转账或电汇形式缴纳投标保证金，投标人应从其银行账户（基本存款账户）向招标文件载明的投标保证金账户提交投标保证金。投标保证金转账单或电汇单上必须注明所投项目编号，并在投标文件中附上复印清晰的投标保证金转账单或电汇底单复印件，投标保证金应在投标截止前到达招标文件及公告所提供的账户上。若汇款人名称与投标人不一致或未在规定时间内到达指定账户的，资格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10" w:hRule="atLeast"/>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jc w:val="center"/>
              <w:rPr>
                <w:rFonts w:hint="eastAsia" w:eastAsia="宋体"/>
                <w:color w:val="auto"/>
                <w:highlight w:val="none"/>
                <w:lang w:val="en-US" w:eastAsia="zh-CN"/>
              </w:rPr>
            </w:pPr>
            <w:r>
              <w:rPr>
                <w:rFonts w:hint="eastAsia" w:ascii="宋体" w:hAnsi="宋体" w:eastAsia="宋体" w:cs="宋体"/>
                <w:color w:val="auto"/>
                <w:spacing w:val="0"/>
                <w:sz w:val="24"/>
                <w:szCs w:val="24"/>
                <w:highlight w:val="none"/>
              </w:rPr>
              <w:t>1</w:t>
            </w:r>
            <w:r>
              <w:rPr>
                <w:rFonts w:hint="eastAsia" w:ascii="宋体" w:hAnsi="宋体" w:cs="宋体"/>
                <w:color w:val="auto"/>
                <w:spacing w:val="0"/>
                <w:sz w:val="24"/>
                <w:szCs w:val="24"/>
                <w:highlight w:val="none"/>
                <w:lang w:val="en-US" w:eastAsia="zh-CN"/>
              </w:rPr>
              <w:t>1</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16.1</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监督管理部门：</w:t>
            </w:r>
            <w:r>
              <w:rPr>
                <w:rFonts w:hint="eastAsia" w:hAnsi="宋体" w:cs="宋体"/>
                <w:color w:val="auto"/>
                <w:kern w:val="0"/>
                <w:sz w:val="24"/>
                <w:highlight w:val="none"/>
              </w:rPr>
              <w:t>湄洲岛国家旅游度假区建设交通局、湄洲岛国家旅游度假区财政金融局</w:t>
            </w:r>
            <w:r>
              <w:rPr>
                <w:rFonts w:hint="eastAsia" w:hAnsi="宋体" w:cs="宋体"/>
                <w:b/>
                <w:bCs/>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713" w:hRule="atLeast"/>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jc w:val="center"/>
              <w:rPr>
                <w:rFonts w:hint="eastAsia" w:eastAsia="宋体"/>
                <w:color w:val="auto"/>
                <w:highlight w:val="none"/>
                <w:lang w:val="en-US" w:eastAsia="zh-CN"/>
              </w:rPr>
            </w:pPr>
            <w:r>
              <w:rPr>
                <w:rFonts w:hint="eastAsia" w:ascii="宋体" w:hAnsi="宋体" w:eastAsia="宋体" w:cs="宋体"/>
                <w:color w:val="auto"/>
                <w:spacing w:val="0"/>
                <w:sz w:val="24"/>
                <w:szCs w:val="24"/>
                <w:highlight w:val="none"/>
              </w:rPr>
              <w:t>1</w:t>
            </w:r>
            <w:r>
              <w:rPr>
                <w:rFonts w:hint="eastAsia" w:ascii="宋体" w:hAnsi="宋体" w:cs="宋体"/>
                <w:color w:val="auto"/>
                <w:spacing w:val="0"/>
                <w:sz w:val="24"/>
                <w:szCs w:val="24"/>
                <w:highlight w:val="none"/>
                <w:lang w:val="en-US" w:eastAsia="zh-CN"/>
              </w:rPr>
              <w:t>2</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18.1</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采购信息发布媒体（以下简称：“指定媒体”）：</w:t>
            </w:r>
          </w:p>
          <w:p>
            <w:pPr>
              <w:pStyle w:val="16"/>
              <w:keepNext w:val="0"/>
              <w:keepLines w:val="0"/>
              <w:widowControl/>
              <w:suppressLineNumbers w:val="0"/>
              <w:wordWrap w:val="0"/>
              <w:spacing w:before="0" w:beforeAutospacing="0" w:after="0" w:afterAutospacing="0"/>
              <w:ind w:left="0" w:right="0"/>
              <w:rPr>
                <w:rFonts w:hint="eastAsia"/>
                <w:color w:val="auto"/>
                <w:highlight w:val="none"/>
              </w:rPr>
            </w:pPr>
            <w:r>
              <w:rPr>
                <w:rFonts w:hint="eastAsia" w:ascii="宋体" w:hAnsi="宋体" w:cs="宋体"/>
                <w:color w:val="auto"/>
                <w:spacing w:val="0"/>
                <w:sz w:val="24"/>
                <w:szCs w:val="24"/>
                <w:highlight w:val="none"/>
                <w:lang w:eastAsia="zh-CN"/>
              </w:rPr>
              <w:t>莆田市湄洲岛旅游建设集团有限公</w:t>
            </w:r>
            <w:r>
              <w:rPr>
                <w:rFonts w:hint="eastAsia" w:ascii="宋体" w:hAnsi="宋体" w:cs="宋体"/>
                <w:color w:val="auto"/>
                <w:spacing w:val="0"/>
                <w:sz w:val="24"/>
                <w:szCs w:val="24"/>
                <w:highlight w:val="none"/>
                <w:lang w:val="en-US" w:eastAsia="zh-CN"/>
              </w:rPr>
              <w:t>司官网</w:t>
            </w:r>
            <w:r>
              <w:rPr>
                <w:rFonts w:hint="eastAsia"/>
                <w:color w:val="auto"/>
                <w:highlight w:val="none"/>
              </w:rPr>
              <w:t xml:space="preserve"> </w:t>
            </w:r>
            <w:r>
              <w:rPr>
                <w:rFonts w:hint="eastAsia"/>
                <w:color w:val="auto"/>
                <w:highlight w:val="none"/>
                <w:lang w:val="en-US" w:eastAsia="zh-CN"/>
              </w:rPr>
              <w:t>(</w:t>
            </w:r>
            <w:r>
              <w:rPr>
                <w:rFonts w:hint="eastAsia"/>
                <w:color w:val="auto"/>
                <w:highlight w:val="none"/>
              </w:rPr>
              <w:t>http://www.mzdljjt.com/zh</w:t>
            </w:r>
            <w:r>
              <w:rPr>
                <w:rFonts w:hint="eastAsia"/>
                <w:color w:val="auto"/>
                <w:highlight w:val="none"/>
                <w:lang w:val="en-US" w:eastAsia="zh-CN"/>
              </w:rPr>
              <w:t>)</w:t>
            </w:r>
            <w:r>
              <w:rPr>
                <w:rFonts w:hint="eastAsia"/>
                <w:color w:val="auto"/>
                <w:highlight w:val="none"/>
              </w:rPr>
              <w:t>、</w:t>
            </w:r>
          </w:p>
          <w:p>
            <w:pPr>
              <w:pStyle w:val="16"/>
              <w:keepNext w:val="0"/>
              <w:keepLines w:val="0"/>
              <w:widowControl/>
              <w:suppressLineNumbers w:val="0"/>
              <w:wordWrap w:val="0"/>
              <w:spacing w:before="0" w:beforeAutospacing="0" w:after="0" w:afterAutospacing="0"/>
              <w:ind w:left="0" w:right="0"/>
              <w:rPr>
                <w:rFonts w:hint="eastAsia"/>
                <w:color w:val="auto"/>
                <w:highlight w:val="none"/>
                <w:lang w:val="en-US" w:eastAsia="zh-CN"/>
              </w:rPr>
            </w:pPr>
            <w:r>
              <w:rPr>
                <w:rFonts w:hint="eastAsia"/>
                <w:color w:val="auto"/>
                <w:highlight w:val="none"/>
              </w:rPr>
              <w:t>中国采购与招标网</w:t>
            </w:r>
            <w:r>
              <w:rPr>
                <w:rFonts w:hint="eastAsia"/>
                <w:color w:val="auto"/>
                <w:highlight w:val="none"/>
                <w:lang w:val="en-US" w:eastAsia="zh-CN"/>
              </w:rPr>
              <w:t>(www.chinabidding.com.cn)</w:t>
            </w:r>
          </w:p>
          <w:p>
            <w:pPr>
              <w:pStyle w:val="16"/>
              <w:keepNext w:val="0"/>
              <w:keepLines w:val="0"/>
              <w:widowControl/>
              <w:suppressLineNumbers w:val="0"/>
              <w:wordWrap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※若出现上述指定媒体信息不一致情形，应以莆田市湄洲岛旅游建设集团有限公司官网发布的为准。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0"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jc w:val="center"/>
              <w:rPr>
                <w:rFonts w:hint="eastAsia" w:eastAsia="宋体"/>
                <w:color w:val="auto"/>
                <w:highlight w:val="none"/>
                <w:lang w:val="en-US" w:eastAsia="zh-CN"/>
              </w:rPr>
            </w:pPr>
            <w:r>
              <w:rPr>
                <w:rFonts w:hint="eastAsia" w:ascii="宋体" w:hAnsi="宋体" w:eastAsia="宋体" w:cs="宋体"/>
                <w:color w:val="auto"/>
                <w:spacing w:val="0"/>
                <w:sz w:val="24"/>
                <w:szCs w:val="24"/>
                <w:highlight w:val="none"/>
              </w:rPr>
              <w:t>1</w:t>
            </w:r>
            <w:r>
              <w:rPr>
                <w:rFonts w:hint="eastAsia" w:ascii="宋体" w:hAnsi="宋体" w:cs="宋体"/>
                <w:color w:val="auto"/>
                <w:spacing w:val="0"/>
                <w:sz w:val="24"/>
                <w:szCs w:val="24"/>
                <w:highlight w:val="none"/>
                <w:lang w:val="en-US" w:eastAsia="zh-CN"/>
              </w:rPr>
              <w:t>3</w:t>
            </w:r>
          </w:p>
        </w:tc>
        <w:tc>
          <w:tcPr>
            <w:tcW w:w="1334"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pacing w:val="0"/>
                <w:sz w:val="24"/>
                <w:szCs w:val="24"/>
                <w:highlight w:val="none"/>
              </w:rPr>
              <w:t>19</w:t>
            </w:r>
          </w:p>
        </w:tc>
        <w:tc>
          <w:tcPr>
            <w:tcW w:w="7605" w:type="dxa"/>
            <w:shd w:val="clear" w:color="auto" w:fill="auto"/>
            <w:tcMar>
              <w:top w:w="0" w:type="dxa"/>
              <w:left w:w="105" w:type="dxa"/>
              <w:bottom w:w="0" w:type="dxa"/>
              <w:right w:w="105" w:type="dxa"/>
            </w:tcMar>
            <w:vAlign w:val="center"/>
          </w:tcPr>
          <w:p>
            <w:pPr>
              <w:pStyle w:val="16"/>
              <w:keepNext w:val="0"/>
              <w:keepLines w:val="0"/>
              <w:widowControl/>
              <w:suppressLineNumbers w:val="0"/>
              <w:wordWrap w:val="0"/>
              <w:spacing w:before="0" w:beforeAutospacing="0" w:after="0" w:afterAutospacing="0"/>
              <w:ind w:left="0" w:right="0"/>
              <w:rPr>
                <w:color w:val="auto"/>
                <w:highlight w:val="none"/>
              </w:rPr>
            </w:pPr>
            <w:r>
              <w:rPr>
                <w:rStyle w:val="22"/>
                <w:rFonts w:hint="eastAsia" w:ascii="宋体" w:hAnsi="宋体" w:eastAsia="宋体" w:cs="宋体"/>
                <w:color w:val="auto"/>
                <w:spacing w:val="0"/>
                <w:sz w:val="24"/>
                <w:szCs w:val="24"/>
                <w:highlight w:val="none"/>
              </w:rPr>
              <w:t>其他事项：</w:t>
            </w:r>
          </w:p>
          <w:p>
            <w:pPr>
              <w:pStyle w:val="16"/>
              <w:keepNext w:val="0"/>
              <w:keepLines w:val="0"/>
              <w:widowControl/>
              <w:numPr>
                <w:ilvl w:val="0"/>
                <w:numId w:val="1"/>
              </w:numPr>
              <w:suppressLineNumbers w:val="0"/>
              <w:wordWrap w:val="0"/>
              <w:spacing w:before="0" w:beforeAutospacing="0" w:after="0" w:afterAutospacing="0"/>
              <w:ind w:left="0" w:right="0"/>
              <w:rPr>
                <w:rFonts w:hint="eastAsia" w:ascii="宋体" w:hAnsi="宋体" w:eastAsia="宋体" w:cs="宋体"/>
                <w:color w:val="auto"/>
                <w:spacing w:val="0"/>
                <w:sz w:val="24"/>
                <w:szCs w:val="24"/>
                <w:highlight w:val="none"/>
              </w:rPr>
            </w:pPr>
            <w:r>
              <w:rPr>
                <w:rStyle w:val="22"/>
                <w:rFonts w:hint="eastAsia" w:ascii="宋体" w:hAnsi="宋体" w:eastAsia="宋体" w:cs="宋体"/>
                <w:color w:val="auto"/>
                <w:spacing w:val="0"/>
                <w:sz w:val="24"/>
                <w:szCs w:val="24"/>
                <w:highlight w:val="none"/>
              </w:rPr>
              <w:t>本项目代理服务费由</w:t>
            </w:r>
            <w:r>
              <w:rPr>
                <w:rFonts w:hint="eastAsia" w:ascii="宋体" w:hAnsi="宋体" w:eastAsia="宋体" w:cs="宋体"/>
                <w:color w:val="auto"/>
                <w:spacing w:val="0"/>
                <w:sz w:val="24"/>
                <w:szCs w:val="24"/>
                <w:highlight w:val="none"/>
              </w:rPr>
              <w:t>中标人</w:t>
            </w:r>
            <w:r>
              <w:rPr>
                <w:rStyle w:val="22"/>
                <w:rFonts w:hint="eastAsia" w:ascii="宋体" w:hAnsi="宋体" w:eastAsia="宋体" w:cs="宋体"/>
                <w:color w:val="auto"/>
                <w:spacing w:val="0"/>
                <w:sz w:val="24"/>
                <w:szCs w:val="24"/>
                <w:highlight w:val="none"/>
              </w:rPr>
              <w:t>支付。</w:t>
            </w:r>
          </w:p>
          <w:p>
            <w:pPr>
              <w:pStyle w:val="16"/>
              <w:keepNext w:val="0"/>
              <w:keepLines w:val="0"/>
              <w:widowControl/>
              <w:numPr>
                <w:ilvl w:val="0"/>
                <w:numId w:val="0"/>
              </w:numPr>
              <w:suppressLineNumbers w:val="0"/>
              <w:wordWrap w:val="0"/>
              <w:spacing w:before="0" w:beforeAutospacing="0" w:after="0" w:afterAutospacing="0"/>
              <w:ind w:right="0" w:rightChars="0"/>
              <w:rPr>
                <w:rFonts w:hint="eastAsia" w:ascii="宋体" w:hAnsi="宋体" w:eastAsia="宋体" w:cs="宋体"/>
                <w:color w:val="auto"/>
                <w:spacing w:val="0"/>
                <w:sz w:val="24"/>
                <w:szCs w:val="24"/>
                <w:highlight w:val="none"/>
              </w:rPr>
            </w:pPr>
            <w:r>
              <w:rPr>
                <w:rStyle w:val="22"/>
                <w:rFonts w:hint="eastAsia" w:ascii="宋体" w:hAnsi="宋体" w:eastAsia="宋体" w:cs="宋体"/>
                <w:color w:val="auto"/>
                <w:spacing w:val="0"/>
                <w:sz w:val="24"/>
                <w:szCs w:val="24"/>
                <w:highlight w:val="none"/>
              </w:rPr>
              <w:t>(2)其他：</w:t>
            </w:r>
            <w:r>
              <w:rPr>
                <w:rFonts w:hint="eastAsia" w:ascii="宋体" w:hAnsi="宋体" w:eastAsia="宋体" w:cs="宋体"/>
                <w:color w:val="auto"/>
                <w:spacing w:val="0"/>
                <w:sz w:val="24"/>
                <w:szCs w:val="24"/>
                <w:highlight w:val="none"/>
              </w:rPr>
              <w:t>①招标代理服务费按差额累计法</w:t>
            </w:r>
            <w:r>
              <w:rPr>
                <w:rFonts w:hint="eastAsia" w:ascii="宋体" w:hAnsi="宋体" w:cs="宋体"/>
                <w:color w:val="auto"/>
                <w:spacing w:val="0"/>
                <w:sz w:val="24"/>
                <w:szCs w:val="24"/>
                <w:highlight w:val="none"/>
                <w:lang w:val="en-US" w:eastAsia="zh-CN"/>
              </w:rPr>
              <w:t>八折</w:t>
            </w:r>
            <w:r>
              <w:rPr>
                <w:rFonts w:hint="eastAsia" w:ascii="宋体" w:hAnsi="宋体" w:eastAsia="宋体" w:cs="宋体"/>
                <w:color w:val="auto"/>
                <w:spacing w:val="0"/>
                <w:sz w:val="24"/>
                <w:szCs w:val="24"/>
                <w:highlight w:val="none"/>
              </w:rPr>
              <w:t>计算（具体缴纳比例为：中标总金额在100万元以下的部分按1.5%缴纳；中标总金额在100万—500万元的部分按1.1%缴纳；中标总金额在500万-1000万元的部分按0.8%缴纳；）。中标人应在领取中标通知书的同时向招标代理人缴纳代理服务费(其中包含该项目采购有跟标或增加补充而产生的采购金额。但若采购人的实际采购金额低于中标总金额的，招标代理人将不予退还原缴纳的费用)。</w:t>
            </w:r>
          </w:p>
          <w:p>
            <w:pPr>
              <w:pStyle w:val="17"/>
              <w:jc w:val="both"/>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 xml:space="preserve"> ②</w:t>
            </w:r>
            <w:r>
              <w:rPr>
                <w:rFonts w:hint="eastAsia" w:ascii="宋体" w:hAnsi="宋体" w:cs="宋体"/>
                <w:b w:val="0"/>
                <w:bCs w:val="0"/>
                <w:color w:val="auto"/>
                <w:sz w:val="24"/>
                <w:szCs w:val="24"/>
                <w:highlight w:val="none"/>
                <w:lang w:val="en-US" w:eastAsia="zh-CN"/>
              </w:rPr>
              <w:t>专家评审费：由采购人按规定支付。</w:t>
            </w:r>
          </w:p>
          <w:p>
            <w:pPr>
              <w:pStyle w:val="16"/>
              <w:keepNext w:val="0"/>
              <w:keepLines w:val="0"/>
              <w:widowControl/>
              <w:numPr>
                <w:ilvl w:val="0"/>
                <w:numId w:val="0"/>
              </w:numPr>
              <w:suppressLineNumbers w:val="0"/>
              <w:wordWrap w:val="0"/>
              <w:spacing w:before="0" w:beforeAutospacing="0" w:after="0" w:afterAutospacing="0"/>
              <w:ind w:right="0" w:rightChars="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③资格证明材料补充说明1（若有）：根据“莆田市财政局关于进一步优化政府采购营商环境的通知（莆财购〔2020〕13号）”，因疫情影响享受缓缴或免缴社保资金、税款的企业，无法提供相关社保、税收缴纳证明材料的，提供有关情况说明视同社保、税收缴纳证明材料提交完整。（请投标人根据实际情况如实声明，否则视为提供虚假材料。）</w:t>
            </w:r>
          </w:p>
          <w:p>
            <w:pPr>
              <w:pStyle w:val="16"/>
              <w:keepNext w:val="0"/>
              <w:keepLines w:val="0"/>
              <w:widowControl/>
              <w:numPr>
                <w:ilvl w:val="0"/>
                <w:numId w:val="0"/>
              </w:numPr>
              <w:suppressLineNumbers w:val="0"/>
              <w:wordWrap w:val="0"/>
              <w:spacing w:before="0" w:beforeAutospacing="0" w:after="0" w:afterAutospacing="0"/>
              <w:ind w:right="0" w:rightChars="0"/>
              <w:rPr>
                <w:color w:val="auto"/>
                <w:highlight w:val="none"/>
              </w:rPr>
            </w:pPr>
            <w:r>
              <w:rPr>
                <w:rFonts w:hint="eastAsia" w:ascii="宋体" w:hAnsi="宋体" w:eastAsia="宋体" w:cs="宋体"/>
                <w:color w:val="auto"/>
                <w:spacing w:val="0"/>
                <w:sz w:val="24"/>
                <w:szCs w:val="24"/>
                <w:highlight w:val="none"/>
              </w:rPr>
              <w:t xml:space="preserve"> </w:t>
            </w:r>
            <w:r>
              <w:rPr>
                <w:rFonts w:hint="eastAsia" w:ascii="宋体" w:hAnsi="宋体" w:eastAsia="宋体" w:cs="宋体"/>
                <w:color w:val="auto"/>
                <w:spacing w:val="0"/>
                <w:sz w:val="24"/>
                <w:szCs w:val="24"/>
                <w:highlight w:val="none"/>
                <w:lang w:val="en-US" w:eastAsia="zh-CN"/>
              </w:rPr>
              <w:t>④</w:t>
            </w:r>
            <w:r>
              <w:rPr>
                <w:rFonts w:hint="eastAsia" w:ascii="宋体" w:hAnsi="宋体" w:eastAsia="宋体" w:cs="宋体"/>
                <w:color w:val="auto"/>
                <w:spacing w:val="0"/>
                <w:sz w:val="24"/>
                <w:szCs w:val="24"/>
                <w:highlight w:val="none"/>
              </w:rPr>
              <w:t>资格证明材料补充说明2（若有）：投标人资格证明文件若提供资信证明的，提供的资信证明应为投标本单位的基本存款帐户银行开具，且应提供原件</w:t>
            </w:r>
            <w:r>
              <w:rPr>
                <w:rFonts w:hint="eastAsia" w:ascii="宋体" w:hAnsi="宋体" w:eastAsia="宋体" w:cs="宋体"/>
                <w:color w:val="auto"/>
                <w:spacing w:val="0"/>
                <w:sz w:val="24"/>
                <w:szCs w:val="24"/>
                <w:highlight w:val="none"/>
                <w:lang w:eastAsia="zh-CN"/>
              </w:rPr>
              <w:t>有效的</w:t>
            </w:r>
            <w:r>
              <w:rPr>
                <w:rFonts w:hint="eastAsia" w:ascii="宋体" w:hAnsi="宋体" w:eastAsia="宋体" w:cs="宋体"/>
                <w:color w:val="auto"/>
                <w:spacing w:val="0"/>
                <w:sz w:val="24"/>
                <w:szCs w:val="24"/>
                <w:highlight w:val="none"/>
              </w:rPr>
              <w:t>扫描件</w:t>
            </w:r>
            <w:r>
              <w:rPr>
                <w:rFonts w:hint="eastAsia" w:ascii="宋体" w:hAnsi="宋体" w:eastAsia="宋体" w:cs="宋体"/>
                <w:color w:val="auto"/>
                <w:spacing w:val="0"/>
                <w:sz w:val="24"/>
                <w:szCs w:val="24"/>
                <w:highlight w:val="none"/>
                <w:lang w:eastAsia="zh-CN"/>
              </w:rPr>
              <w:t>（复印件）</w:t>
            </w:r>
            <w:r>
              <w:rPr>
                <w:rFonts w:hint="eastAsia" w:ascii="宋体" w:hAnsi="宋体" w:eastAsia="宋体" w:cs="宋体"/>
                <w:color w:val="auto"/>
                <w:spacing w:val="0"/>
                <w:sz w:val="24"/>
                <w:szCs w:val="24"/>
                <w:highlight w:val="none"/>
              </w:rPr>
              <w:t>，内容应完整、清晰、整洁。投标人只提供存款余额状况或开户证明的，不视为资信证明材料，认定其资信证明不完整，为无效投标。</w:t>
            </w:r>
          </w:p>
        </w:tc>
      </w:tr>
    </w:tbl>
    <w:p>
      <w:pPr>
        <w:pStyle w:val="16"/>
        <w:keepNext w:val="0"/>
        <w:keepLines w:val="0"/>
        <w:widowControl/>
        <w:suppressLineNumbers w:val="0"/>
        <w:spacing w:before="75" w:beforeAutospacing="0" w:after="75" w:afterAutospacing="0"/>
        <w:ind w:left="0" w:right="0" w:firstLine="0"/>
        <w:rPr>
          <w:color w:val="auto"/>
          <w:spacing w:val="0"/>
          <w:sz w:val="24"/>
          <w:szCs w:val="24"/>
          <w:highlight w:val="none"/>
        </w:rPr>
      </w:pP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rPr>
          <w:color w:val="auto"/>
          <w:spacing w:val="0"/>
          <w:sz w:val="24"/>
          <w:szCs w:val="24"/>
          <w:highlight w:val="none"/>
        </w:rPr>
      </w:pPr>
    </w:p>
    <w:p>
      <w:pPr>
        <w:pStyle w:val="16"/>
        <w:keepNext w:val="0"/>
        <w:keepLines w:val="0"/>
        <w:widowControl/>
        <w:suppressLineNumbers w:val="0"/>
        <w:spacing w:before="75" w:beforeAutospacing="0" w:after="75" w:afterAutospacing="0"/>
        <w:ind w:left="0" w:right="0" w:firstLine="0"/>
        <w:rPr>
          <w:color w:val="auto"/>
          <w:spacing w:val="0"/>
          <w:sz w:val="24"/>
          <w:szCs w:val="24"/>
          <w:highlight w:val="none"/>
        </w:rPr>
      </w:pPr>
    </w:p>
    <w:p>
      <w:pPr>
        <w:pStyle w:val="16"/>
        <w:keepNext w:val="0"/>
        <w:keepLines w:val="0"/>
        <w:widowControl/>
        <w:suppressLineNumbers w:val="0"/>
        <w:spacing w:before="75" w:beforeAutospacing="0" w:after="75" w:afterAutospacing="0"/>
        <w:ind w:left="0" w:right="0" w:firstLine="0"/>
        <w:rPr>
          <w:color w:val="auto"/>
          <w:spacing w:val="0"/>
          <w:sz w:val="24"/>
          <w:szCs w:val="24"/>
          <w:highlight w:val="none"/>
        </w:rPr>
      </w:pP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31"/>
          <w:szCs w:val="31"/>
          <w:highlight w:val="none"/>
        </w:rPr>
        <w:t>第三章   投标人须知</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一、总则</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1、适用范围</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1.1适用于招标文件载明项目的政府采购活动（以下简称：“本次采购活动”）。</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2、定义</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2.1“采购标的”指招标文件载明的需要采购的货物或服务。</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2.2“潜在投标人”指按照招标文件第一章第</w:t>
      </w:r>
      <w:r>
        <w:rPr>
          <w:rFonts w:hint="default" w:ascii="Calibri" w:hAnsi="Calibri" w:cs="Calibri"/>
          <w:color w:val="auto"/>
          <w:spacing w:val="0"/>
          <w:sz w:val="24"/>
          <w:szCs w:val="24"/>
          <w:highlight w:val="none"/>
        </w:rPr>
        <w:t>7</w:t>
      </w:r>
      <w:r>
        <w:rPr>
          <w:rFonts w:hint="eastAsia" w:ascii="宋体" w:hAnsi="宋体" w:eastAsia="宋体" w:cs="宋体"/>
          <w:color w:val="auto"/>
          <w:spacing w:val="0"/>
          <w:sz w:val="24"/>
          <w:szCs w:val="24"/>
          <w:highlight w:val="none"/>
        </w:rPr>
        <w:t>条规定获取招标文件且有意向参加本项目投标的供应商。</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2.3“投标人”指按照招标文件第一章第</w:t>
      </w:r>
      <w:r>
        <w:rPr>
          <w:rFonts w:hint="default" w:ascii="Calibri" w:hAnsi="Calibri" w:cs="Calibri"/>
          <w:color w:val="auto"/>
          <w:spacing w:val="0"/>
          <w:sz w:val="24"/>
          <w:szCs w:val="24"/>
          <w:highlight w:val="none"/>
        </w:rPr>
        <w:t>7</w:t>
      </w:r>
      <w:r>
        <w:rPr>
          <w:rFonts w:hint="eastAsia" w:ascii="宋体" w:hAnsi="宋体" w:eastAsia="宋体" w:cs="宋体"/>
          <w:color w:val="auto"/>
          <w:spacing w:val="0"/>
          <w:sz w:val="24"/>
          <w:szCs w:val="24"/>
          <w:highlight w:val="none"/>
        </w:rPr>
        <w:t>条规定获取招标文件并参加本项目投标的供应商。</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2.4“单位负责人”指单位法定代表人或法律、法规规定代表单位行使职权的主要负责人。</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2.5“投标人代表”指投标人的单位负责人或“单位负责人授权书”中载明的接受授权方。</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二、投标人</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3、合格投标人</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3.1一般规定</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（1）投标人应遵守政府采购法及实施条例、政府采购招投标管理办法、</w:t>
      </w:r>
      <w:r>
        <w:rPr>
          <w:rFonts w:hint="eastAsia" w:ascii="宋体" w:hAnsi="宋体" w:eastAsia="宋体" w:cs="宋体"/>
          <w:color w:val="auto"/>
          <w:highlight w:val="none"/>
        </w:rPr>
        <w:t>政府采购质疑和投诉办法及财政部、</w:t>
      </w:r>
      <w:r>
        <w:rPr>
          <w:rFonts w:hint="eastAsia" w:ascii="宋体" w:hAnsi="宋体" w:eastAsia="宋体" w:cs="宋体"/>
          <w:color w:val="auto"/>
          <w:spacing w:val="0"/>
          <w:highlight w:val="none"/>
        </w:rPr>
        <w:t>福建省财政厅有关政府采购文件的规定，同时还应遵守有关法律、法规和规章的强制性规定。</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（2）投标人的资格要求：详见招标文件第一章。</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3.2若本项目接受联合体投标且投标人为联合体，则联合体各方应遵守本章第3.1条规定，同时还应遵守下列规定：</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（1）联合体各方应提交联合体协议，联合体协议应符合招标文件规定。</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（2）联合体各方不得再单独参加或与其他供应商另外组成联合体参加同一合同项下的投标。</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（3）联合体各方应共同与采购人签订政府采购合同，就政府采购合同约定的事项对采购人承担连带责任。  </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z w:val="24"/>
          <w:szCs w:val="24"/>
          <w:highlight w:val="none"/>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z w:val="24"/>
          <w:szCs w:val="24"/>
          <w:highlight w:val="none"/>
        </w:rPr>
        <w:t>（5）联合体一方放弃中标的，视为联合体整体放弃中标，联合体各方承担连带责任。</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z w:val="24"/>
          <w:szCs w:val="24"/>
          <w:highlight w:val="none"/>
        </w:rPr>
        <w:t>（6）如本项目不接受联合体投标而投标人为联合体的，或者本项目接受联合体投标但投标人组成的联合体不符合本章第3.2条规定的，投标无效。</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4、投标费用</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4.1除招标文件另有规定外，投标人应自行承担其参加本项目投标所涉及的一切费用。</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三、招标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5、招标文件</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5.1招标文件由下述部分组成：</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（1）投标邀请</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（2）投标人须知前附表（表</w:t>
      </w:r>
      <w:r>
        <w:rPr>
          <w:rFonts w:hint="default"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（3）投标人须知</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（4）资格审查与评标</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（5）招标内容及要求</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（6）政府采购合同（参考文本）</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（7）投标文件格式</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（8）按照招标文件规定作为招标文件组成部分的其他内容（若有）</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5.2招标文件的澄清或修改</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w:t>
      </w:r>
      <w:r>
        <w:rPr>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可对已发出的招标文件进行必要的澄清或修改，但不得对招标文件载明的采购标的和投标人的资格要求进行改变。</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（2）除本章第</w:t>
      </w:r>
      <w:r>
        <w:rPr>
          <w:rFonts w:hint="default" w:ascii="Calibri" w:hAnsi="Calibri" w:cs="Calibri"/>
          <w:color w:val="auto"/>
          <w:spacing w:val="0"/>
          <w:sz w:val="24"/>
          <w:szCs w:val="24"/>
          <w:highlight w:val="none"/>
        </w:rPr>
        <w:t>5.2</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3</w:t>
      </w:r>
      <w:r>
        <w:rPr>
          <w:rFonts w:hint="eastAsia" w:ascii="宋体" w:hAnsi="宋体" w:eastAsia="宋体" w:cs="宋体"/>
          <w:color w:val="auto"/>
          <w:spacing w:val="0"/>
          <w:sz w:val="24"/>
          <w:szCs w:val="24"/>
          <w:highlight w:val="none"/>
        </w:rPr>
        <w:t>）款规定情形外，澄清或修改的内容可能影响投标文件编制的，</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将在投标截止时间至少15个日历日前，在招标文件载明的指定媒体以更正公告的形式发布澄清或修改的内容。不足</w:t>
      </w:r>
      <w:r>
        <w:rPr>
          <w:rFonts w:hint="default" w:ascii="Calibri" w:hAnsi="Calibri" w:cs="Calibri"/>
          <w:color w:val="auto"/>
          <w:spacing w:val="0"/>
          <w:sz w:val="24"/>
          <w:szCs w:val="24"/>
          <w:highlight w:val="none"/>
        </w:rPr>
        <w:t>15</w:t>
      </w:r>
      <w:r>
        <w:rPr>
          <w:rFonts w:hint="eastAsia" w:ascii="宋体" w:hAnsi="宋体" w:eastAsia="宋体" w:cs="宋体"/>
          <w:color w:val="auto"/>
          <w:spacing w:val="0"/>
          <w:sz w:val="24"/>
          <w:szCs w:val="24"/>
          <w:highlight w:val="none"/>
        </w:rPr>
        <w:t>个日历日的，</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将顺延投标截止时间及开标时间，</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和投标人受原投标截止时间及开标时间制约的所有权利和义务均延长至新的投标截止时间及开标时间。</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（3）澄清或修改的内容可能改变招标文件载明的采购标的和投标人的资格要求的，本次采购活动结束，</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将依法组织后续采购活动（包括但不限于：重新招标、采用其他方式采购等）。</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6、现场考察或开标前答疑会</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6.1是否组织现场考察或召开开标前答疑会：详见招标文件第二章。</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7、更正公告</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7.1若</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发布更正公告，则更正公告及其所发布的内容或信息（包括但不限于：招标文件的澄清或修改、现场考察或答疑会的有关事宜等）</w:t>
      </w:r>
      <w:r>
        <w:rPr>
          <w:rStyle w:val="22"/>
          <w:rFonts w:hint="eastAsia" w:ascii="宋体" w:hAnsi="宋体" w:eastAsia="宋体" w:cs="宋体"/>
          <w:color w:val="auto"/>
          <w:spacing w:val="0"/>
          <w:sz w:val="24"/>
          <w:szCs w:val="24"/>
          <w:highlight w:val="none"/>
        </w:rPr>
        <w:t>作为招标文件组成部分</w:t>
      </w:r>
      <w:r>
        <w:rPr>
          <w:rFonts w:hint="eastAsia" w:ascii="宋体" w:hAnsi="宋体" w:eastAsia="宋体" w:cs="宋体"/>
          <w:color w:val="auto"/>
          <w:spacing w:val="0"/>
          <w:sz w:val="24"/>
          <w:szCs w:val="24"/>
          <w:highlight w:val="none"/>
        </w:rPr>
        <w:t>，对投标人具有约束力。</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7.2更正公告作为</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通知所有潜在投标人的书面形式。</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8、终止公告</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8.1若出现因重大变故导致采购任务取消情形，</w:t>
      </w:r>
      <w:r>
        <w:rPr>
          <w:rFonts w:hint="eastAsia" w:ascii="宋体" w:hAnsi="宋体" w:eastAsia="宋体" w:cs="宋体"/>
          <w:color w:val="auto"/>
          <w:spacing w:val="0"/>
          <w:sz w:val="24"/>
          <w:szCs w:val="24"/>
          <w:highlight w:val="none"/>
          <w:u w:val="none"/>
        </w:rPr>
        <w:t>福建亿立项目管理有限公司可终止招标并发布终止公告。</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u w:val="none"/>
        </w:rPr>
        <w:t>8.2终止公告作为福建亿立项目管理有限公司</w:t>
      </w:r>
      <w:r>
        <w:rPr>
          <w:rFonts w:hint="eastAsia" w:ascii="宋体" w:hAnsi="宋体" w:eastAsia="宋体" w:cs="宋体"/>
          <w:color w:val="auto"/>
          <w:spacing w:val="0"/>
          <w:sz w:val="24"/>
          <w:szCs w:val="24"/>
          <w:highlight w:val="none"/>
        </w:rPr>
        <w:t>通知所有潜在投标人的书面形式。</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四、投标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9、投标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9.1投标人可对招标文件载明的全部或部分采购包进行投标。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9.2投标人应对同一个采购包内的所有内容进行完整投标，否则</w:t>
      </w:r>
      <w:r>
        <w:rPr>
          <w:rStyle w:val="22"/>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9.3投标人代表只能接受一个投标人的授权参加投标，否则</w:t>
      </w:r>
      <w:r>
        <w:rPr>
          <w:rStyle w:val="22"/>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9.4单位负责人为同一人或存在直接控股、管理关系的不同供应商，不得同时参加同一合同项下的投标，否则</w:t>
      </w:r>
      <w:r>
        <w:rPr>
          <w:rStyle w:val="22"/>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9.5为本项目提供整体设计、规范编制或项目管理、监理、检测等服务的供应商，不得参加本项目除整体设计、规范编制和项目管理、监理、检测等服务外的采购活动，否则</w:t>
      </w:r>
      <w:r>
        <w:rPr>
          <w:rStyle w:val="22"/>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9.6列入失信被执行人、重大税收违法案件当事人名单、政府采购严重违法失信行为记录名单及其他不符合政府采购法第二十二条规定条件的供应商，不得参加投标，否则</w:t>
      </w:r>
      <w:r>
        <w:rPr>
          <w:rStyle w:val="22"/>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9.7有下列情形之一的，视为投标人串通投标，</w:t>
      </w:r>
      <w:r>
        <w:rPr>
          <w:rStyle w:val="22"/>
          <w:rFonts w:hint="eastAsia" w:ascii="宋体" w:hAnsi="宋体" w:eastAsia="宋体" w:cs="宋体"/>
          <w:color w:val="auto"/>
          <w:spacing w:val="0"/>
          <w:sz w:val="24"/>
          <w:szCs w:val="24"/>
          <w:highlight w:val="none"/>
        </w:rPr>
        <w:t>其投标无效：</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（1）不同投标人的投标文件由同一单位或个人编制；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（2）不同投标人委托同一单位或个人办理投标事宜；</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（3）不同投标人的投标文件载明的项目管理成员或联系人员为同一人；</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（4）不同投标人的投标文件异常一致或投标报价呈规律性差异；</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（5）不同投标人的投标文件相互混装；</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（6）不同投标人的投标保证金从同一单位或个人的账户转出；</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（7）有关法律、法规和规章及招标文件规定的其他串通投标情形。</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10、投标文件</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10.1投标文件的编制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（1）投标人应先仔细阅读招标文件的全部内容后，再进行投标文件的编制。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（2）投标文件应按照本章第</w:t>
      </w:r>
      <w:r>
        <w:rPr>
          <w:rFonts w:hint="default" w:ascii="Calibri" w:hAnsi="Calibri" w:cs="Calibri"/>
          <w:color w:val="auto"/>
          <w:spacing w:val="0"/>
          <w:sz w:val="24"/>
          <w:szCs w:val="24"/>
          <w:highlight w:val="none"/>
        </w:rPr>
        <w:t>10.2</w:t>
      </w:r>
      <w:r>
        <w:rPr>
          <w:rFonts w:hint="eastAsia" w:ascii="宋体" w:hAnsi="宋体" w:eastAsia="宋体" w:cs="宋体"/>
          <w:color w:val="auto"/>
          <w:spacing w:val="0"/>
          <w:sz w:val="24"/>
          <w:szCs w:val="24"/>
          <w:highlight w:val="none"/>
        </w:rPr>
        <w:t>条规定编制其组成部分。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10.2投标文件由下述部分组成：</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（1）资格及资信证明部分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①投标函</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②投标人的资格及资信证明文件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③投标保证金</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（2）报价部分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①开标一览表</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②投标分项报价表</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③招标文件规定的价格扣除证明材料（若有）</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④招标文件规定的加分证明材料（若有）</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（3）技术商务部分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①标的说明一览表</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②技术和服务要求响应表</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③商务条件响应表</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④投标人提交的其他资料（若有）</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⑤招标文件规定作为投标文件组成部分的其他内容（若有）</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10.3投标文件的语言</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（1）除招标文件另有规定外，投标文件应使用中文文本，若有不同文本，以中文文本为准。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10.4投标文件的份数：详见招标文件第二章。</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10.5投标文件的格式</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（1）除招标文件另有规定外，投标文件应使用招标文件第七章规定的格式。</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（2）除招标文件另有规定外，投标文件应使用不能擦去的墨料或墨水打印、书写或复印。</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（3）除招标文件另有规定外，投标文件应使用人民币作为计量货币。</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（4）除招标文件另有规定外，签署、盖章应遵守下列规定：</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①投标文件应加盖投标人的单位公章。若投标人代表为单位授权的委托代理人，应提供“单位授权书”。</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②投标文件应没有涂改或行间插字，除非这些改动是根据</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的指示进行的，或是为改正投标人造成的应修改的错误而进行的。若有前述改动，应按照下列规定之一对改动处进行处理：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a.投标人代表签字确认；</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b.加盖投标人的单位公章或校正章。</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10.6投标报价</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（1）投标报价超出最高限价将导致</w:t>
      </w:r>
      <w:r>
        <w:rPr>
          <w:rStyle w:val="22"/>
          <w:rFonts w:hint="eastAsia" w:ascii="宋体" w:hAnsi="宋体" w:eastAsia="宋体" w:cs="宋体"/>
          <w:color w:val="auto"/>
          <w:spacing w:val="0"/>
          <w:sz w:val="24"/>
          <w:szCs w:val="24"/>
          <w:highlight w:val="none"/>
        </w:rPr>
        <w:t>投标无效。</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（2）最高限价由采购人根据价格测算情况，在预算金额的额度内合理设定。最高限价不得超出预算金额。</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（3）除招标文件另有规定外，投标文件不能出现任何选择性的投标报价，即每一个采购包和品目号的采购标的都只能有一个投标报价。任何选择性的投标报价将导致</w:t>
      </w:r>
      <w:r>
        <w:rPr>
          <w:rStyle w:val="22"/>
          <w:rFonts w:hint="eastAsia" w:ascii="宋体" w:hAnsi="宋体" w:eastAsia="宋体" w:cs="宋体"/>
          <w:color w:val="auto"/>
          <w:spacing w:val="0"/>
          <w:sz w:val="24"/>
          <w:szCs w:val="24"/>
          <w:highlight w:val="none"/>
        </w:rPr>
        <w:t>投标无效。</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10.7分包</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（1）是否允许中标人将本项目的非主体、非关键性工作进行分包：详见招标文件第二章。</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（3）招标文件允许中标人将非主体、非关键性工作进行分包的项目，有下列情形之一的，中标人不得分包：</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①投标文件中未载明分包承担主体；</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②投标文件载明的分包承担主体不具备相应资质条件；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③投标文件载明的分包承担主体拟再次分包；</w:t>
      </w:r>
    </w:p>
    <w:p>
      <w:pPr>
        <w:pStyle w:val="16"/>
        <w:keepNext w:val="0"/>
        <w:keepLines w:val="0"/>
        <w:widowControl/>
        <w:suppressLineNumbers w:val="0"/>
        <w:rPr>
          <w:color w:val="auto"/>
          <w:highlight w:val="none"/>
        </w:rPr>
      </w:pPr>
      <w:r>
        <w:rPr>
          <w:rFonts w:hint="eastAsia" w:ascii="宋体" w:hAnsi="宋体" w:eastAsia="宋体" w:cs="宋体"/>
          <w:color w:val="auto"/>
          <w:spacing w:val="0"/>
          <w:sz w:val="24"/>
          <w:szCs w:val="24"/>
          <w:highlight w:val="none"/>
        </w:rPr>
        <w:t>  ④享受中小企业扶持政策获得政府采购合同的，小微企业不得将合同分包给大中型企业，中型企业不得将合同分包给大型企业。</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10.8投标有效期</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（1）招标文件载明的投标有效期：详见招标文件第二章。</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（2）投标文件承诺的投标有效期不得少于招标文件载明的投标有效期，否则</w:t>
      </w:r>
      <w:r>
        <w:rPr>
          <w:rStyle w:val="22"/>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（3）根据本次采购活动的需要，</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可于投标有效期届满之前书面要求投标人延长投标有效期，投标人应在</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10.9投标保证金</w:t>
      </w:r>
    </w:p>
    <w:p>
      <w:pPr>
        <w:pStyle w:val="16"/>
        <w:keepNext w:val="0"/>
        <w:keepLines w:val="0"/>
        <w:pageBreakBefore w:val="0"/>
        <w:kinsoku/>
        <w:wordWrap/>
        <w:overflowPunct/>
        <w:topLinePunct w:val="0"/>
        <w:autoSpaceDE/>
        <w:bidi w:val="0"/>
        <w:spacing w:beforeAutospacing="0" w:afterAutospacing="0" w:line="400" w:lineRule="exact"/>
        <w:ind w:left="0" w:leftChars="0" w:firstLine="480"/>
        <w:rPr>
          <w:rFonts w:ascii="宋体" w:hAnsi="宋体" w:cs="宋体"/>
          <w:color w:val="auto"/>
          <w:highlight w:val="none"/>
        </w:rPr>
      </w:pPr>
      <w:r>
        <w:rPr>
          <w:rFonts w:hint="eastAsia" w:ascii="宋体" w:hAnsi="宋体" w:cs="宋体"/>
          <w:color w:val="auto"/>
          <w:highlight w:val="none"/>
        </w:rPr>
        <w:t>（1）投标保证金作为投标人按照招标文件规定履行相应投标责任、义务的约束及担保。</w:t>
      </w:r>
    </w:p>
    <w:p>
      <w:pPr>
        <w:pStyle w:val="16"/>
        <w:keepNext w:val="0"/>
        <w:keepLines w:val="0"/>
        <w:pageBreakBefore w:val="0"/>
        <w:kinsoku/>
        <w:wordWrap/>
        <w:overflowPunct/>
        <w:topLinePunct w:val="0"/>
        <w:autoSpaceDE/>
        <w:bidi w:val="0"/>
        <w:spacing w:beforeAutospacing="0" w:afterAutospacing="0" w:line="400" w:lineRule="exact"/>
        <w:ind w:left="0" w:leftChars="0" w:firstLine="480"/>
        <w:rPr>
          <w:rFonts w:ascii="宋体" w:hAnsi="宋体" w:cs="宋体"/>
          <w:color w:val="auto"/>
          <w:highlight w:val="none"/>
        </w:rPr>
      </w:pPr>
      <w:r>
        <w:rPr>
          <w:rFonts w:hint="eastAsia" w:ascii="宋体" w:hAnsi="宋体" w:cs="宋体"/>
          <w:color w:val="auto"/>
          <w:highlight w:val="none"/>
        </w:rPr>
        <w:t>（2）投标保证金的有效期应与投标文件承诺的投标有效期保持一致，否则</w:t>
      </w:r>
      <w:r>
        <w:rPr>
          <w:rStyle w:val="22"/>
          <w:rFonts w:hint="eastAsia" w:ascii="宋体" w:hAnsi="宋体" w:cs="宋体"/>
          <w:color w:val="auto"/>
          <w:highlight w:val="none"/>
        </w:rPr>
        <w:t>投标无效</w:t>
      </w:r>
      <w:r>
        <w:rPr>
          <w:rFonts w:hint="eastAsia" w:ascii="宋体" w:hAnsi="宋体" w:cs="宋体"/>
          <w:color w:val="auto"/>
          <w:highlight w:val="none"/>
        </w:rPr>
        <w:t>。</w:t>
      </w:r>
    </w:p>
    <w:p>
      <w:pPr>
        <w:pStyle w:val="16"/>
        <w:keepNext w:val="0"/>
        <w:keepLines w:val="0"/>
        <w:pageBreakBefore w:val="0"/>
        <w:kinsoku/>
        <w:wordWrap/>
        <w:overflowPunct/>
        <w:topLinePunct w:val="0"/>
        <w:autoSpaceDE/>
        <w:bidi w:val="0"/>
        <w:spacing w:beforeAutospacing="0" w:afterAutospacing="0" w:line="400" w:lineRule="exact"/>
        <w:ind w:left="0" w:leftChars="0" w:firstLine="480"/>
        <w:rPr>
          <w:rFonts w:hint="eastAsia" w:ascii="宋体" w:hAnsi="宋体" w:cs="宋体"/>
          <w:color w:val="auto"/>
          <w:highlight w:val="none"/>
        </w:rPr>
      </w:pPr>
      <w:r>
        <w:rPr>
          <w:rFonts w:hint="eastAsia" w:ascii="宋体" w:hAnsi="宋体" w:cs="宋体"/>
          <w:color w:val="auto"/>
          <w:highlight w:val="none"/>
        </w:rPr>
        <w:t>（3）提交</w:t>
      </w:r>
    </w:p>
    <w:p>
      <w:pPr>
        <w:pStyle w:val="16"/>
        <w:keepNext w:val="0"/>
        <w:keepLines w:val="0"/>
        <w:widowControl/>
        <w:suppressLineNumbers w:val="0"/>
        <w:spacing w:before="75" w:beforeAutospacing="0" w:after="75" w:afterAutospacing="0"/>
        <w:ind w:left="0" w:right="0" w:firstLine="480"/>
        <w:rPr>
          <w:rFonts w:hint="eastAsia" w:ascii="宋体" w:hAnsi="宋体" w:cs="宋体"/>
          <w:color w:val="auto"/>
          <w:highlight w:val="none"/>
        </w:rPr>
      </w:pPr>
      <w:r>
        <w:rPr>
          <w:rFonts w:hint="eastAsia" w:ascii="宋体" w:hAnsi="宋体" w:cs="宋体"/>
          <w:color w:val="auto"/>
          <w:highlight w:val="none"/>
        </w:rPr>
        <w:t>①投标人以汇款形式缴纳投标保证金的，应从其银行账户（基本存款账户）按照下列方式：公对公转账方式向招标文件载明的投标保证金账户提交投标保证金，具体金额详见招标文件第一章。</w:t>
      </w:r>
      <w:r>
        <w:rPr>
          <w:rFonts w:hint="eastAsia" w:ascii="宋体" w:hAnsi="宋体" w:eastAsia="宋体" w:cs="宋体"/>
          <w:color w:val="auto"/>
          <w:spacing w:val="0"/>
          <w:sz w:val="24"/>
          <w:szCs w:val="24"/>
          <w:highlight w:val="none"/>
        </w:rPr>
        <w:t>投标保证金应于投标截止时间前到达招标文件载明的投标保证金账户，否则视为投标保证金未提交；是否到达按照下列方式认定：</w:t>
      </w:r>
      <w:r>
        <w:rPr>
          <w:rStyle w:val="22"/>
          <w:rFonts w:hint="eastAsia" w:ascii="宋体" w:hAnsi="宋体" w:eastAsia="宋体" w:cs="宋体"/>
          <w:color w:val="auto"/>
          <w:spacing w:val="0"/>
          <w:sz w:val="24"/>
          <w:szCs w:val="24"/>
          <w:highlight w:val="none"/>
        </w:rPr>
        <w:t>以招标文件载明的投标保证金账户的</w:t>
      </w:r>
      <w:r>
        <w:rPr>
          <w:rStyle w:val="22"/>
          <w:rFonts w:hint="eastAsia" w:ascii="宋体" w:hAnsi="宋体" w:cs="宋体"/>
          <w:color w:val="auto"/>
          <w:spacing w:val="0"/>
          <w:sz w:val="24"/>
          <w:szCs w:val="24"/>
          <w:highlight w:val="none"/>
          <w:lang w:eastAsia="zh-CN"/>
        </w:rPr>
        <w:t>到账时间</w:t>
      </w:r>
      <w:r>
        <w:rPr>
          <w:rStyle w:val="22"/>
          <w:rFonts w:hint="eastAsia" w:ascii="宋体" w:hAnsi="宋体" w:eastAsia="宋体" w:cs="宋体"/>
          <w:color w:val="auto"/>
          <w:spacing w:val="0"/>
          <w:sz w:val="24"/>
          <w:szCs w:val="24"/>
          <w:highlight w:val="none"/>
        </w:rPr>
        <w:t>为准。</w:t>
      </w:r>
    </w:p>
    <w:p>
      <w:pPr>
        <w:pStyle w:val="16"/>
        <w:keepNext w:val="0"/>
        <w:keepLines w:val="0"/>
        <w:pageBreakBefore w:val="0"/>
        <w:kinsoku/>
        <w:wordWrap/>
        <w:overflowPunct/>
        <w:topLinePunct w:val="0"/>
        <w:autoSpaceDE/>
        <w:bidi w:val="0"/>
        <w:spacing w:beforeAutospacing="0" w:afterAutospacing="0" w:line="400" w:lineRule="exact"/>
        <w:ind w:left="0" w:leftChars="0" w:firstLine="480"/>
        <w:rPr>
          <w:rFonts w:ascii="宋体" w:hAnsi="宋体" w:cs="宋体"/>
          <w:color w:val="auto"/>
          <w:highlight w:val="none"/>
        </w:rPr>
      </w:pPr>
      <w:r>
        <w:rPr>
          <w:rFonts w:hint="eastAsia" w:ascii="宋体" w:hAnsi="宋体" w:cs="宋体"/>
          <w:color w:val="auto"/>
          <w:highlight w:val="none"/>
        </w:rPr>
        <w:t>②投标人以电子保函形式提交投标保证金的，投标人保证金须以投标人名义，以支票、汇票、本票或者金融机构、担保机构出具的保函、转账等非现金形式提交（不直接接受现金、现金存款方式）；在投标截止时间之前将电子保函文件放入投标文件中，否则视为未提交投标保证金。</w:t>
      </w:r>
    </w:p>
    <w:p>
      <w:pPr>
        <w:pStyle w:val="16"/>
        <w:keepNext w:val="0"/>
        <w:keepLines w:val="0"/>
        <w:pageBreakBefore w:val="0"/>
        <w:kinsoku/>
        <w:wordWrap/>
        <w:overflowPunct/>
        <w:topLinePunct w:val="0"/>
        <w:autoSpaceDE/>
        <w:bidi w:val="0"/>
        <w:spacing w:beforeAutospacing="0" w:afterAutospacing="0" w:line="400" w:lineRule="exact"/>
        <w:ind w:left="0" w:leftChars="0" w:firstLine="480"/>
        <w:rPr>
          <w:rFonts w:ascii="宋体" w:hAnsi="宋体" w:cs="宋体"/>
          <w:color w:val="auto"/>
          <w:highlight w:val="none"/>
        </w:rPr>
      </w:pPr>
      <w:r>
        <w:rPr>
          <w:rFonts w:hint="eastAsia" w:ascii="宋体" w:hAnsi="宋体" w:cs="宋体"/>
          <w:color w:val="auto"/>
          <w:highlight w:val="none"/>
        </w:rPr>
        <w:t>③若本项目接受联合体投标且投标人为联合体，则联合体中的牵头方应按照本章第10.9条第（3）款第①、②点规定提交投标保证金。</w:t>
      </w:r>
    </w:p>
    <w:p>
      <w:pPr>
        <w:pStyle w:val="16"/>
        <w:spacing w:before="75" w:after="75"/>
        <w:ind w:firstLine="480"/>
        <w:rPr>
          <w:rStyle w:val="22"/>
          <w:rFonts w:hint="eastAsia" w:ascii="宋体" w:hAnsi="宋体" w:cs="宋体"/>
          <w:color w:val="auto"/>
          <w:highlight w:val="none"/>
        </w:rPr>
      </w:pPr>
      <w:r>
        <w:rPr>
          <w:rStyle w:val="22"/>
          <w:rFonts w:hint="eastAsia" w:ascii="宋体" w:hAnsi="宋体" w:cs="宋体"/>
          <w:color w:val="auto"/>
          <w:highlight w:val="none"/>
        </w:rPr>
        <w:t>※除招标文件另有规定外，未按照上述规定提交投标保证金将导致资格审查不合格。</w:t>
      </w:r>
    </w:p>
    <w:p>
      <w:pPr>
        <w:pStyle w:val="16"/>
        <w:keepNext w:val="0"/>
        <w:keepLines w:val="0"/>
        <w:widowControl/>
        <w:suppressLineNumbers w:val="0"/>
        <w:spacing w:before="75" w:beforeAutospacing="0" w:after="75" w:afterAutospacing="0"/>
        <w:ind w:left="0" w:right="0" w:firstLine="480"/>
        <w:rPr>
          <w:rFonts w:hint="eastAsia" w:ascii="宋体" w:hAnsi="宋体" w:eastAsia="宋体" w:cs="宋体"/>
          <w:color w:val="auto"/>
          <w:spacing w:val="0"/>
          <w:sz w:val="24"/>
          <w:szCs w:val="24"/>
          <w:highlight w:val="none"/>
        </w:rPr>
      </w:pP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（4）退还</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①在投标截止时间前撤回已提交的投标文件的投标人，其投标保证金将在</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收到投标人书面撤回通知之日起5个工作日内退回原账户。</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②未中标人的投标保证金将在中标通知书发出之日起</w:t>
      </w:r>
      <w:r>
        <w:rPr>
          <w:rFonts w:hint="default" w:ascii="Calibri" w:hAnsi="Calibri" w:cs="Calibri"/>
          <w:color w:val="auto"/>
          <w:spacing w:val="0"/>
          <w:sz w:val="24"/>
          <w:szCs w:val="24"/>
          <w:highlight w:val="none"/>
        </w:rPr>
        <w:t>5</w:t>
      </w:r>
      <w:r>
        <w:rPr>
          <w:rFonts w:hint="eastAsia" w:ascii="宋体" w:hAnsi="宋体" w:eastAsia="宋体" w:cs="宋体"/>
          <w:color w:val="auto"/>
          <w:spacing w:val="0"/>
          <w:sz w:val="24"/>
          <w:szCs w:val="24"/>
          <w:highlight w:val="none"/>
        </w:rPr>
        <w:t>个工作日内退回原账户。</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③中标人的投标保证金将在政府采购合同签订之日起</w:t>
      </w:r>
      <w:r>
        <w:rPr>
          <w:rFonts w:hint="default" w:ascii="Calibri" w:hAnsi="Calibri" w:cs="Calibri"/>
          <w:color w:val="auto"/>
          <w:spacing w:val="0"/>
          <w:sz w:val="24"/>
          <w:szCs w:val="24"/>
          <w:highlight w:val="none"/>
        </w:rPr>
        <w:t>5</w:t>
      </w:r>
      <w:r>
        <w:rPr>
          <w:rFonts w:hint="eastAsia" w:ascii="宋体" w:hAnsi="宋体" w:eastAsia="宋体" w:cs="宋体"/>
          <w:color w:val="auto"/>
          <w:spacing w:val="0"/>
          <w:sz w:val="24"/>
          <w:szCs w:val="24"/>
          <w:highlight w:val="none"/>
        </w:rPr>
        <w:t>个工作日内退回原账户</w:t>
      </w:r>
      <w:r>
        <w:rPr>
          <w:rStyle w:val="22"/>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④终止招标的，</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将在终止公告发布之日起5个工作日内退回已收取的投标保证金及其在银行产生的孳息。</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⑤除招标文件另有规定外，质疑或投诉涉及的投标人，若投标保证金尚未退还，则待质疑或投诉处理完毕后不计利息原额退还。</w:t>
      </w:r>
    </w:p>
    <w:p>
      <w:pPr>
        <w:pStyle w:val="16"/>
        <w:keepNext w:val="0"/>
        <w:keepLines w:val="0"/>
        <w:widowControl/>
        <w:suppressLineNumbers w:val="0"/>
        <w:spacing w:before="75" w:beforeAutospacing="0" w:after="75" w:afterAutospacing="0"/>
        <w:ind w:left="0" w:right="0" w:firstLine="480"/>
        <w:rPr>
          <w:color w:val="auto"/>
          <w:highlight w:val="none"/>
        </w:rPr>
      </w:pPr>
      <w:r>
        <w:rPr>
          <w:rStyle w:val="22"/>
          <w:rFonts w:hint="eastAsia" w:ascii="宋体" w:hAnsi="宋体" w:eastAsia="宋体" w:cs="宋体"/>
          <w:color w:val="auto"/>
          <w:spacing w:val="0"/>
          <w:sz w:val="24"/>
          <w:szCs w:val="24"/>
          <w:highlight w:val="none"/>
        </w:rPr>
        <w:t>※本章第</w:t>
      </w:r>
      <w:r>
        <w:rPr>
          <w:rStyle w:val="22"/>
          <w:rFonts w:hint="default" w:ascii="Calibri" w:hAnsi="Calibri" w:cs="Calibri"/>
          <w:color w:val="auto"/>
          <w:spacing w:val="0"/>
          <w:sz w:val="24"/>
          <w:szCs w:val="24"/>
          <w:highlight w:val="none"/>
        </w:rPr>
        <w:t>10.9</w:t>
      </w:r>
      <w:r>
        <w:rPr>
          <w:rStyle w:val="22"/>
          <w:rFonts w:hint="eastAsia" w:ascii="宋体" w:hAnsi="宋体" w:eastAsia="宋体" w:cs="宋体"/>
          <w:color w:val="auto"/>
          <w:spacing w:val="0"/>
          <w:sz w:val="24"/>
          <w:szCs w:val="24"/>
          <w:highlight w:val="none"/>
        </w:rPr>
        <w:t>条第（</w:t>
      </w:r>
      <w:r>
        <w:rPr>
          <w:rStyle w:val="22"/>
          <w:rFonts w:hint="default" w:ascii="Calibri" w:hAnsi="Calibri" w:cs="Calibri"/>
          <w:color w:val="auto"/>
          <w:spacing w:val="0"/>
          <w:sz w:val="24"/>
          <w:szCs w:val="24"/>
          <w:highlight w:val="none"/>
        </w:rPr>
        <w:t>4</w:t>
      </w:r>
      <w:r>
        <w:rPr>
          <w:rStyle w:val="22"/>
          <w:rFonts w:hint="eastAsia" w:ascii="宋体" w:hAnsi="宋体" w:eastAsia="宋体" w:cs="宋体"/>
          <w:color w:val="auto"/>
          <w:spacing w:val="0"/>
          <w:sz w:val="24"/>
          <w:szCs w:val="24"/>
          <w:highlight w:val="none"/>
        </w:rPr>
        <w:t>）款第①、②、③点规定的投标保证金退还时限不包括因投标人自身原因导致无法及时退还而增加的时间。</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（5）若出现本章第</w:t>
      </w:r>
      <w:r>
        <w:rPr>
          <w:rFonts w:hint="default" w:ascii="Calibri" w:hAnsi="Calibri" w:cs="Calibri"/>
          <w:color w:val="auto"/>
          <w:spacing w:val="0"/>
          <w:sz w:val="24"/>
          <w:szCs w:val="24"/>
          <w:highlight w:val="none"/>
        </w:rPr>
        <w:t>10.8</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3</w:t>
      </w:r>
      <w:r>
        <w:rPr>
          <w:rFonts w:hint="eastAsia" w:ascii="宋体" w:hAnsi="宋体" w:eastAsia="宋体" w:cs="宋体"/>
          <w:color w:val="auto"/>
          <w:spacing w:val="0"/>
          <w:sz w:val="24"/>
          <w:szCs w:val="24"/>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（6）有下列情形之一的，投标保证金将不予退还：</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①投标人串通投标；</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②投标人提供虚假材料；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③投标人采取不正当手段诋毁、排挤其他投标人；</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④投标截止时间后，投标人在投标有效期内撤销</w:t>
      </w:r>
      <w:r>
        <w:rPr>
          <w:rFonts w:hint="eastAsia" w:ascii="宋体" w:hAnsi="宋体" w:cs="宋体"/>
          <w:color w:val="auto"/>
          <w:spacing w:val="0"/>
          <w:sz w:val="24"/>
          <w:szCs w:val="24"/>
          <w:highlight w:val="none"/>
          <w:lang w:eastAsia="zh-CN"/>
        </w:rPr>
        <w:t>（撤回）</w:t>
      </w:r>
      <w:r>
        <w:rPr>
          <w:rFonts w:hint="eastAsia" w:ascii="宋体" w:hAnsi="宋体" w:eastAsia="宋体" w:cs="宋体"/>
          <w:color w:val="auto"/>
          <w:spacing w:val="0"/>
          <w:sz w:val="24"/>
          <w:szCs w:val="24"/>
          <w:highlight w:val="none"/>
        </w:rPr>
        <w:t>投标文件；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⑤招标文件规定的其他不予退还情形；</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⑥中标人有下列情形之一的：</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a.除不可抗力外，因中标人自身原因未在中标通知书要求的期限内与采购人签订政府采购合同；</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b.未按照招标文件、投标文件的约定签订政府采购合同或提交履约保证金。</w:t>
      </w:r>
    </w:p>
    <w:p>
      <w:pPr>
        <w:pStyle w:val="16"/>
        <w:keepNext w:val="0"/>
        <w:keepLines w:val="0"/>
        <w:widowControl/>
        <w:suppressLineNumbers w:val="0"/>
        <w:spacing w:before="75" w:beforeAutospacing="0" w:after="75" w:afterAutospacing="0"/>
        <w:ind w:left="0" w:right="0" w:firstLine="480"/>
        <w:rPr>
          <w:color w:val="auto"/>
          <w:highlight w:val="none"/>
        </w:rPr>
      </w:pPr>
      <w:r>
        <w:rPr>
          <w:rStyle w:val="22"/>
          <w:rFonts w:hint="eastAsia" w:ascii="宋体" w:hAnsi="宋体" w:eastAsia="宋体" w:cs="宋体"/>
          <w:color w:val="auto"/>
          <w:spacing w:val="0"/>
          <w:sz w:val="24"/>
          <w:szCs w:val="24"/>
          <w:highlight w:val="none"/>
        </w:rPr>
        <w:t>※若上述投标保证金不予退还情形给采购人（采购代理机构）造成损失，则投标人还要承担相应的赔偿责任。</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10.10投标文件的提交</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（1）一个投标人只能提交一个投标文件，并按照招标文件第一章规定</w:t>
      </w:r>
      <w:r>
        <w:rPr>
          <w:rFonts w:hint="eastAsia" w:ascii="宋体" w:hAnsi="宋体" w:cs="宋体"/>
          <w:color w:val="auto"/>
          <w:spacing w:val="0"/>
          <w:sz w:val="24"/>
          <w:szCs w:val="24"/>
          <w:highlight w:val="none"/>
          <w:lang w:eastAsia="zh-CN"/>
        </w:rPr>
        <w:t>递交投标文件</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10.11投标文件的补充、修改或撤回</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（1）投标截止时间前，投标人可对所提交的投标文件进行补充、修改或撤回，并书面通知</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（2）补充、修改的内容应按照本章第</w:t>
      </w:r>
      <w:r>
        <w:rPr>
          <w:rFonts w:hint="default" w:ascii="Calibri" w:hAnsi="Calibri" w:cs="Calibri"/>
          <w:color w:val="auto"/>
          <w:spacing w:val="0"/>
          <w:sz w:val="24"/>
          <w:szCs w:val="24"/>
          <w:highlight w:val="none"/>
        </w:rPr>
        <w:t>10.5</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4</w:t>
      </w:r>
      <w:r>
        <w:rPr>
          <w:rFonts w:hint="eastAsia" w:ascii="宋体" w:hAnsi="宋体" w:eastAsia="宋体" w:cs="宋体"/>
          <w:color w:val="auto"/>
          <w:spacing w:val="0"/>
          <w:sz w:val="24"/>
          <w:szCs w:val="24"/>
          <w:highlight w:val="none"/>
        </w:rPr>
        <w:t>）款规定进行签署、盖章，并按照本章第</w:t>
      </w:r>
      <w:r>
        <w:rPr>
          <w:rFonts w:hint="default" w:ascii="Calibri" w:hAnsi="Calibri" w:cs="Calibri"/>
          <w:color w:val="auto"/>
          <w:spacing w:val="0"/>
          <w:sz w:val="24"/>
          <w:szCs w:val="24"/>
          <w:highlight w:val="none"/>
        </w:rPr>
        <w:t>10.10</w:t>
      </w:r>
      <w:r>
        <w:rPr>
          <w:rFonts w:hint="eastAsia" w:ascii="宋体" w:hAnsi="宋体" w:eastAsia="宋体" w:cs="宋体"/>
          <w:color w:val="auto"/>
          <w:spacing w:val="0"/>
          <w:sz w:val="24"/>
          <w:szCs w:val="24"/>
          <w:highlight w:val="none"/>
        </w:rPr>
        <w:t>条规定提交，</w:t>
      </w:r>
      <w:r>
        <w:rPr>
          <w:rStyle w:val="22"/>
          <w:rFonts w:hint="eastAsia" w:ascii="宋体" w:hAnsi="宋体" w:eastAsia="宋体" w:cs="宋体"/>
          <w:color w:val="auto"/>
          <w:spacing w:val="0"/>
          <w:sz w:val="24"/>
          <w:szCs w:val="24"/>
          <w:highlight w:val="none"/>
        </w:rPr>
        <w:t>否则将被拒收。</w:t>
      </w:r>
    </w:p>
    <w:p>
      <w:pPr>
        <w:pStyle w:val="16"/>
        <w:keepNext w:val="0"/>
        <w:keepLines w:val="0"/>
        <w:widowControl/>
        <w:suppressLineNumbers w:val="0"/>
        <w:spacing w:before="75" w:beforeAutospacing="0" w:after="75" w:afterAutospacing="0"/>
        <w:ind w:left="0" w:right="0" w:firstLine="480"/>
        <w:rPr>
          <w:color w:val="auto"/>
          <w:highlight w:val="none"/>
        </w:rPr>
      </w:pPr>
      <w:r>
        <w:rPr>
          <w:rStyle w:val="22"/>
          <w:rFonts w:hint="eastAsia" w:ascii="宋体" w:hAnsi="宋体" w:eastAsia="宋体" w:cs="宋体"/>
          <w:color w:val="auto"/>
          <w:spacing w:val="0"/>
          <w:sz w:val="24"/>
          <w:szCs w:val="24"/>
          <w:highlight w:val="none"/>
        </w:rPr>
        <w:t>※按照上述规定提交的补充、修改内容作为投标文件组成部分。</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10.12除招标文件另有规定外，有下列情形之一的，</w:t>
      </w:r>
      <w:r>
        <w:rPr>
          <w:rStyle w:val="22"/>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（1）投标文件未按照招标文件要求签署、盖章；</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（2）不符合招标文件中规定的资格要求；</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（3）投标报价超过招标文件中规定的预算金额或最高限价；</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（4）投标文件含有采购人不能接受的附加条件；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（5）有关法律、法规和规章及招标文件规定的其他无效情形。</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五、开标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11、开标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11.1</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将在招标文件载明的开标时间及地点主持召开开标会，并邀请投标人参加。</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11.2开标会的主持人、唱标人、记录人及其他工作人员（若有）均由</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派出，现场监督人员（若有）可由有关方面派出。</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11.3参加开标会的投标人应签到，非投标人不参加开标会。如因投标人自身原因造成无法正常参与开标过程的，不利后果由投标人自行承担。</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11.4开标会应遵守下列规定：</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（1）首先由主持人宣布开标会须知，然后由投标人代表对投标文件的</w:t>
      </w:r>
      <w:r>
        <w:rPr>
          <w:rFonts w:hint="eastAsia" w:ascii="宋体" w:hAnsi="宋体" w:cs="宋体"/>
          <w:color w:val="auto"/>
          <w:spacing w:val="0"/>
          <w:sz w:val="24"/>
          <w:szCs w:val="24"/>
          <w:highlight w:val="none"/>
          <w:lang w:eastAsia="zh-CN"/>
        </w:rPr>
        <w:t>密封</w:t>
      </w:r>
      <w:r>
        <w:rPr>
          <w:rFonts w:hint="eastAsia" w:ascii="宋体" w:hAnsi="宋体" w:eastAsia="宋体" w:cs="宋体"/>
          <w:color w:val="auto"/>
          <w:spacing w:val="0"/>
          <w:sz w:val="24"/>
          <w:szCs w:val="24"/>
          <w:highlight w:val="none"/>
        </w:rPr>
        <w:t>情况进行检查，经确认无误后，由工作人员对密封的投标文件当众拆封。</w:t>
      </w:r>
    </w:p>
    <w:p>
      <w:pPr>
        <w:pStyle w:val="16"/>
        <w:keepNext w:val="0"/>
        <w:keepLines w:val="0"/>
        <w:widowControl/>
        <w:suppressLineNumbers w:val="0"/>
        <w:spacing w:before="75" w:beforeAutospacing="0" w:after="75" w:afterAutospacing="0"/>
        <w:ind w:left="0" w:right="0" w:firstLine="48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6"/>
        <w:spacing w:before="75" w:after="75"/>
        <w:ind w:firstLine="480"/>
        <w:rPr>
          <w:rFonts w:ascii="宋体" w:hAnsi="宋体" w:cs="宋体"/>
          <w:color w:val="auto"/>
          <w:highlight w:val="none"/>
        </w:rPr>
      </w:pPr>
      <w:r>
        <w:rPr>
          <w:rFonts w:hint="eastAsia" w:ascii="宋体" w:hAnsi="宋体" w:cs="宋体"/>
          <w:color w:val="auto"/>
          <w:highlight w:val="none"/>
        </w:rPr>
        <w:t>（3）记录人对唱标人宣布的内容作开标记录。</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w:t>
      </w:r>
      <w:r>
        <w:rPr>
          <w:rFonts w:hint="eastAsia" w:ascii="宋体" w:hAnsi="宋体" w:cs="宋体"/>
          <w:color w:val="auto"/>
          <w:highlight w:val="none"/>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rPr>
        <w:t>）</w:t>
      </w:r>
      <w:r>
        <w:rPr>
          <w:rFonts w:hint="eastAsia" w:ascii="宋体" w:hAnsi="宋体" w:cs="宋体"/>
          <w:color w:val="auto"/>
          <w:highlight w:val="none"/>
        </w:rPr>
        <w:t>投标人代表对开标过程和开标记录有疑义，以及认为采购人（采购代理机构）相关工作人员有需要回避情形的，应当场提出询问或回避申请。否则，视为投标人对开标过程和开标记录予以认可。</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lang w:val="en-US" w:eastAsia="zh-CN"/>
        </w:rPr>
        <w:t>6</w:t>
      </w:r>
      <w:r>
        <w:rPr>
          <w:rFonts w:hint="eastAsia" w:ascii="宋体" w:hAnsi="宋体" w:eastAsia="宋体" w:cs="宋体"/>
          <w:color w:val="auto"/>
          <w:spacing w:val="0"/>
          <w:sz w:val="24"/>
          <w:szCs w:val="24"/>
          <w:highlight w:val="none"/>
        </w:rPr>
        <w:t>）</w:t>
      </w:r>
      <w:r>
        <w:rPr>
          <w:rFonts w:hint="eastAsia" w:ascii="宋体" w:hAnsi="宋体" w:cs="宋体"/>
          <w:color w:val="auto"/>
          <w:highlight w:val="none"/>
        </w:rPr>
        <w:t>若投标人未参加开标会（包括但不限于投标人派出的人员不是投标人代表），视同其对开标过程和开标记录予以认可。</w:t>
      </w:r>
    </w:p>
    <w:p>
      <w:pPr>
        <w:pStyle w:val="16"/>
        <w:keepNext w:val="0"/>
        <w:keepLines w:val="0"/>
        <w:widowControl/>
        <w:suppressLineNumbers w:val="0"/>
        <w:spacing w:before="75" w:beforeAutospacing="0" w:after="75" w:afterAutospacing="0"/>
        <w:ind w:left="0" w:right="0" w:firstLine="480"/>
        <w:rPr>
          <w:color w:val="auto"/>
          <w:highlight w:val="none"/>
        </w:rPr>
      </w:pPr>
      <w:r>
        <w:rPr>
          <w:rStyle w:val="22"/>
          <w:rFonts w:hint="eastAsia" w:ascii="宋体" w:hAnsi="宋体" w:eastAsia="宋体" w:cs="宋体"/>
          <w:color w:val="auto"/>
          <w:spacing w:val="0"/>
          <w:sz w:val="24"/>
          <w:szCs w:val="24"/>
          <w:highlight w:val="none"/>
        </w:rPr>
        <w:t>※若出现本章第</w:t>
      </w:r>
      <w:r>
        <w:rPr>
          <w:rStyle w:val="22"/>
          <w:rFonts w:hint="default" w:ascii="Calibri" w:hAnsi="Calibri" w:cs="Calibri"/>
          <w:color w:val="auto"/>
          <w:spacing w:val="0"/>
          <w:sz w:val="24"/>
          <w:szCs w:val="24"/>
          <w:highlight w:val="none"/>
        </w:rPr>
        <w:t>11.4</w:t>
      </w:r>
      <w:r>
        <w:rPr>
          <w:rStyle w:val="22"/>
          <w:rFonts w:hint="eastAsia" w:ascii="宋体" w:hAnsi="宋体" w:eastAsia="宋体" w:cs="宋体"/>
          <w:color w:val="auto"/>
          <w:spacing w:val="0"/>
          <w:sz w:val="24"/>
          <w:szCs w:val="24"/>
          <w:highlight w:val="none"/>
        </w:rPr>
        <w:t>条第（</w:t>
      </w:r>
      <w:r>
        <w:rPr>
          <w:rStyle w:val="22"/>
          <w:rFonts w:hint="eastAsia" w:ascii="Calibri" w:hAnsi="Calibri" w:cs="Calibri"/>
          <w:color w:val="auto"/>
          <w:spacing w:val="0"/>
          <w:sz w:val="24"/>
          <w:szCs w:val="24"/>
          <w:highlight w:val="none"/>
          <w:lang w:val="en-US" w:eastAsia="zh-CN"/>
        </w:rPr>
        <w:t>4</w:t>
      </w:r>
      <w:r>
        <w:rPr>
          <w:rStyle w:val="22"/>
          <w:rFonts w:hint="eastAsia" w:ascii="宋体" w:hAnsi="宋体" w:eastAsia="宋体" w:cs="宋体"/>
          <w:color w:val="auto"/>
          <w:spacing w:val="0"/>
          <w:sz w:val="24"/>
          <w:szCs w:val="24"/>
          <w:highlight w:val="none"/>
        </w:rPr>
        <w:t>）、（</w:t>
      </w:r>
      <w:r>
        <w:rPr>
          <w:rStyle w:val="22"/>
          <w:rFonts w:hint="eastAsia" w:ascii="Calibri" w:hAnsi="Calibri" w:cs="Calibri"/>
          <w:color w:val="auto"/>
          <w:spacing w:val="0"/>
          <w:sz w:val="24"/>
          <w:szCs w:val="24"/>
          <w:highlight w:val="none"/>
          <w:lang w:val="en-US" w:eastAsia="zh-CN"/>
        </w:rPr>
        <w:t>5</w:t>
      </w:r>
      <w:r>
        <w:rPr>
          <w:rStyle w:val="22"/>
          <w:rFonts w:hint="eastAsia" w:ascii="宋体" w:hAnsi="宋体" w:eastAsia="宋体" w:cs="宋体"/>
          <w:color w:val="auto"/>
          <w:spacing w:val="0"/>
          <w:sz w:val="24"/>
          <w:szCs w:val="24"/>
          <w:highlight w:val="none"/>
        </w:rPr>
        <w:t>）、（</w:t>
      </w:r>
      <w:r>
        <w:rPr>
          <w:rStyle w:val="22"/>
          <w:rFonts w:hint="eastAsia" w:ascii="Calibri" w:hAnsi="Calibri" w:cs="Calibri"/>
          <w:color w:val="auto"/>
          <w:spacing w:val="0"/>
          <w:sz w:val="24"/>
          <w:szCs w:val="24"/>
          <w:highlight w:val="none"/>
          <w:lang w:val="en-US" w:eastAsia="zh-CN"/>
        </w:rPr>
        <w:t>6</w:t>
      </w:r>
      <w:r>
        <w:rPr>
          <w:rStyle w:val="22"/>
          <w:rFonts w:hint="eastAsia" w:ascii="宋体" w:hAnsi="宋体" w:eastAsia="宋体" w:cs="宋体"/>
          <w:color w:val="auto"/>
          <w:spacing w:val="0"/>
          <w:sz w:val="24"/>
          <w:szCs w:val="24"/>
          <w:highlight w:val="none"/>
        </w:rPr>
        <w:t>）款规定情形之一</w:t>
      </w:r>
      <w:r>
        <w:rPr>
          <w:rFonts w:hint="eastAsia" w:ascii="宋体" w:hAnsi="宋体" w:eastAsia="宋体" w:cs="宋体"/>
          <w:color w:val="auto"/>
          <w:spacing w:val="0"/>
          <w:sz w:val="24"/>
          <w:szCs w:val="24"/>
          <w:highlight w:val="none"/>
        </w:rPr>
        <w:t>，</w:t>
      </w:r>
      <w:r>
        <w:rPr>
          <w:rStyle w:val="22"/>
          <w:rFonts w:hint="eastAsia" w:ascii="宋体" w:hAnsi="宋体" w:eastAsia="宋体" w:cs="宋体"/>
          <w:color w:val="auto"/>
          <w:spacing w:val="0"/>
          <w:sz w:val="24"/>
          <w:szCs w:val="24"/>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highlight w:val="none"/>
          <w:u w:val="single"/>
        </w:rPr>
        <w:t>福建亿立项目管理有限公司</w:t>
      </w:r>
      <w:r>
        <w:rPr>
          <w:rStyle w:val="22"/>
          <w:rFonts w:hint="eastAsia" w:ascii="宋体" w:hAnsi="宋体" w:eastAsia="宋体" w:cs="宋体"/>
          <w:color w:val="auto"/>
          <w:spacing w:val="0"/>
          <w:sz w:val="24"/>
          <w:szCs w:val="24"/>
          <w:highlight w:val="none"/>
        </w:rPr>
        <w:t>提出任何疑义或要求（包括质疑）。</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11.5投标截止时间后，参加投标的投标人不足三家的，不进行开标。同时，本次采购活动结束，</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将依法组织后续采购活动（包括但不限于：重新招标、采用其他方式采购等）。</w:t>
      </w:r>
    </w:p>
    <w:p>
      <w:pPr>
        <w:pStyle w:val="16"/>
        <w:keepNext w:val="0"/>
        <w:keepLines w:val="0"/>
        <w:widowControl/>
        <w:suppressLineNumbers w:val="0"/>
        <w:spacing w:before="75" w:beforeAutospacing="0" w:after="240" w:afterAutospacing="0"/>
        <w:ind w:left="0" w:right="0" w:firstLine="0"/>
        <w:rPr>
          <w:rFonts w:hint="eastAsia" w:ascii="宋体" w:hAnsi="宋体" w:eastAsia="宋体" w:cs="宋体"/>
          <w:color w:val="auto"/>
          <w:highlight w:val="none"/>
          <w:lang w:eastAsia="zh-CN"/>
        </w:rPr>
      </w:pPr>
      <w:r>
        <w:rPr>
          <w:rFonts w:hint="eastAsia" w:ascii="宋体" w:hAnsi="宋体" w:eastAsia="宋体" w:cs="宋体"/>
          <w:color w:val="auto"/>
          <w:highlight w:val="none"/>
        </w:rPr>
        <w:t>11.6投标截止时间后撤销投标的处理</w:t>
      </w:r>
    </w:p>
    <w:p>
      <w:pPr>
        <w:pStyle w:val="16"/>
        <w:keepNext w:val="0"/>
        <w:keepLines w:val="0"/>
        <w:widowControl/>
        <w:suppressLineNumbers w:val="0"/>
        <w:spacing w:before="75" w:beforeAutospacing="0" w:after="24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  投标截止时间后，投标人在投标有效期内撤销投标的，其撤销投标的行为无效。</w:t>
      </w:r>
    </w:p>
    <w:p>
      <w:pPr>
        <w:pStyle w:val="16"/>
        <w:keepNext w:val="0"/>
        <w:keepLines w:val="0"/>
        <w:widowControl/>
        <w:suppressLineNumbers w:val="0"/>
        <w:spacing w:before="75" w:beforeAutospacing="0" w:after="240" w:afterAutospacing="0"/>
        <w:ind w:left="0" w:right="0" w:firstLine="0"/>
        <w:rPr>
          <w:rFonts w:hint="eastAsia" w:ascii="宋体" w:hAnsi="宋体" w:eastAsia="宋体" w:cs="宋体"/>
          <w:color w:val="auto"/>
          <w:highlight w:val="none"/>
        </w:rPr>
      </w:pP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六、中标与政府采购合同</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12、中标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12.1本项目推荐的中标候选人家数：详见招标文件第二章。</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12.2本项目中标人的确定：详见招标文件第二章。</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12.3中标公告</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（1）中标人确定之日起</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个工作日内，</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将在招标文件载明的指定媒体以中标公告的形式发布中标结果。</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（2）中标公告的公告期限为</w:t>
      </w:r>
      <w:r>
        <w:rPr>
          <w:rFonts w:hint="default"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个工作日。</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12.4中标通知书</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（1）中标公告发布的同时，</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将向中标人发出中标通知书。</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（2）中标通知书发出后，采购人不得违法改变中标结果，中标人无正当理由不得放弃中标。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13、政府采购合同</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6"/>
        <w:keepNext w:val="0"/>
        <w:keepLines w:val="0"/>
        <w:widowControl/>
        <w:suppressLineNumbers w:val="0"/>
        <w:spacing w:before="75" w:beforeAutospacing="0" w:after="75" w:afterAutospacing="0"/>
        <w:ind w:left="0" w:right="0" w:firstLine="0"/>
        <w:rPr>
          <w:b/>
          <w:bCs/>
          <w:color w:val="auto"/>
          <w:szCs w:val="24"/>
          <w:highlight w:val="none"/>
          <w:u w:val="single"/>
        </w:rPr>
      </w:pPr>
      <w:r>
        <w:rPr>
          <w:rFonts w:hint="eastAsia" w:ascii="宋体" w:hAnsi="宋体" w:eastAsia="宋体" w:cs="宋体"/>
          <w:color w:val="auto"/>
          <w:spacing w:val="0"/>
          <w:sz w:val="24"/>
          <w:szCs w:val="24"/>
          <w:highlight w:val="none"/>
        </w:rPr>
        <w:t>13.2签订时限：</w:t>
      </w:r>
      <w:r>
        <w:rPr>
          <w:b/>
          <w:bCs/>
          <w:color w:val="auto"/>
          <w:szCs w:val="24"/>
          <w:highlight w:val="none"/>
          <w:u w:val="single"/>
        </w:rPr>
        <w:t>自中标通知书发出之日起</w:t>
      </w:r>
      <w:r>
        <w:rPr>
          <w:rFonts w:hint="eastAsia" w:cs="宋体"/>
          <w:b/>
          <w:bCs/>
          <w:color w:val="auto"/>
          <w:highlight w:val="none"/>
          <w:u w:val="single"/>
        </w:rPr>
        <w:t>10个工作日</w:t>
      </w:r>
      <w:r>
        <w:rPr>
          <w:b/>
          <w:bCs/>
          <w:color w:val="auto"/>
          <w:szCs w:val="24"/>
          <w:highlight w:val="none"/>
          <w:u w:val="single"/>
        </w:rPr>
        <w:t>内。</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13.3政府采购合同的履行、违约责任和解决争议的方法等适用民法典。</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13.4采购人与中标人应根据政府采购合同的约定依法履行合同义务。</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13.5政府采购合同履行过程中，采购人若需追加与合同标的相同的货物或服务，则追加采购金额不得超过原合同采购金额的</w:t>
      </w:r>
      <w:r>
        <w:rPr>
          <w:rFonts w:hint="default" w:ascii="Calibri" w:hAnsi="Calibri" w:cs="Calibri"/>
          <w:color w:val="auto"/>
          <w:spacing w:val="0"/>
          <w:sz w:val="24"/>
          <w:szCs w:val="24"/>
          <w:highlight w:val="none"/>
        </w:rPr>
        <w:t>10%</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13.6中标人在政府采购合同履行过程中应遵守有关法律、法规和规章的强制性规定（即使前述强制性规定有可能在招标文件中未予列明）。</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七、询问、质疑与投诉</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14、询问</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14.1潜在投标人或投标人对本次采购活动的有关事项若有疑问，可向福建亿立项目管理有限公司提出询问，福建亿立项目管理有限公司将按照政府采购法及实施条例的有关规定进行答复。</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15、质疑</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15.1</w:t>
      </w:r>
      <w:r>
        <w:rPr>
          <w:rFonts w:hint="eastAsia" w:ascii="宋体" w:hAnsi="宋体" w:eastAsia="宋体" w:cs="宋体"/>
          <w:color w:val="auto"/>
          <w:highlight w:val="none"/>
        </w:rPr>
        <w:t>针对同一采购程序环节的质疑应在政府采购法及实施条例的时限内一次性提出</w:t>
      </w:r>
      <w:r>
        <w:rPr>
          <w:rFonts w:hint="eastAsia" w:ascii="宋体" w:hAnsi="宋体" w:eastAsia="宋体" w:cs="宋体"/>
          <w:color w:val="auto"/>
          <w:spacing w:val="0"/>
          <w:highlight w:val="none"/>
        </w:rPr>
        <w:t>，对一个项目的不同采购包提出质疑的，应当将各采购包质疑事项集中在一份质疑函中提出，并同时符合下列条件：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（2）质疑人应按照招标文件第二章规定方式提交质疑函。</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（3）质疑函应包括下列主要内容：</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①质疑人的基本信息，至少包括：全称、地址、邮政编码等；</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②所质疑项目的基本信息，至少包括：项目编号、项目名称等；</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③所质疑的具体事项（以下简称：“质疑事项”）；</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针对质疑事项提出的明确请求，前述明确请求指质疑人提出质疑的目的以及希望福建亿立项目管理有限公司对其质疑作出的处理结果，如：暂停招标投标活动、修改招标文件、停止或纠正违法违规行为、中标结果无效、废标、重新招标等；</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⑤针对质疑事项导致质疑人自身权益受到损害的必要证明材料，至少包括：</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a.质疑人代表的身份证明材料：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a1</w:t>
      </w:r>
      <w:r>
        <w:rPr>
          <w:rFonts w:hint="eastAsia" w:ascii="宋体" w:hAnsi="宋体" w:eastAsia="宋体" w:cs="宋体"/>
          <w:color w:val="auto"/>
          <w:highlight w:val="none"/>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highlight w:val="none"/>
        </w:rPr>
        <w:t>。</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a2若本项目接受自然人投标且质疑人为自然人的，提供本人的身份证复印件。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w:t>
      </w:r>
      <w:r>
        <w:rPr>
          <w:rFonts w:hint="eastAsia" w:ascii="宋体" w:hAnsi="宋体" w:eastAsia="宋体" w:cs="宋体"/>
          <w:color w:val="auto"/>
          <w:highlight w:val="none"/>
        </w:rPr>
        <w:t>其他证明材料（即事实依据和必要的法律依据）</w:t>
      </w:r>
      <w:r>
        <w:rPr>
          <w:rFonts w:hint="eastAsia" w:ascii="宋体" w:hAnsi="宋体" w:eastAsia="宋体" w:cs="宋体"/>
          <w:color w:val="auto"/>
          <w:spacing w:val="0"/>
          <w:highlight w:val="none"/>
        </w:rPr>
        <w:t>包括但不限于下列材料：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b1所质疑的具体事项是与自已有利害关系的证明材料；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b2质疑函所述事实存在的证明材料，如：采购文件、采购过程或中标结果违法违规或不符合采购文件要求等证明材料；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b3依法应终止采购程序的证明材料；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b4应重新采购的证明材料；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b5采购文件、采购过程或中标、成交结果损害自已合法权益的证明材料等；</w:t>
      </w:r>
    </w:p>
    <w:p>
      <w:pPr>
        <w:pStyle w:val="16"/>
        <w:keepNext w:val="0"/>
        <w:keepLines w:val="0"/>
        <w:widowControl/>
        <w:suppressLineNumbers w:val="0"/>
        <w:spacing w:before="75" w:beforeAutospacing="0" w:after="75" w:afterAutospacing="0"/>
        <w:ind w:left="0" w:right="0" w:firstLine="48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22"/>
          <w:rFonts w:hint="eastAsia" w:ascii="宋体" w:hAnsi="宋体" w:eastAsia="宋体" w:cs="宋体"/>
          <w:color w:val="auto"/>
          <w:spacing w:val="0"/>
          <w:sz w:val="24"/>
          <w:szCs w:val="24"/>
          <w:highlight w:val="none"/>
        </w:rPr>
        <w:t>视为无效</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   ⑥质疑人代表及其联系方法的信息，至少包括：姓名、手机、电子信箱、邮寄地址等。</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highlight w:val="none"/>
        </w:rPr>
        <w:t>   ⑦提出质疑的日期。</w:t>
      </w:r>
    </w:p>
    <w:p>
      <w:pPr>
        <w:pStyle w:val="16"/>
        <w:keepNext w:val="0"/>
        <w:keepLines w:val="0"/>
        <w:widowControl/>
        <w:suppressLineNumbers w:val="0"/>
        <w:ind w:left="0" w:firstLine="480"/>
        <w:rPr>
          <w:color w:val="auto"/>
          <w:highlight w:val="none"/>
        </w:rPr>
      </w:pPr>
      <w:r>
        <w:rPr>
          <w:rStyle w:val="22"/>
          <w:rFonts w:hint="eastAsia" w:ascii="宋体" w:hAnsi="宋体" w:eastAsia="宋体" w:cs="宋体"/>
          <w:color w:val="auto"/>
          <w:sz w:val="24"/>
          <w:szCs w:val="24"/>
          <w:highlight w:val="none"/>
        </w:rPr>
        <w:t>※质疑人为法人或其他组织的，质疑函应由单位负责人或委托代理人签字或盖章，并加盖投标人的单位公章。质疑人为自然人的，质疑函应由本人签字。</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15.2对不符合本章第</w:t>
      </w:r>
      <w:r>
        <w:rPr>
          <w:rFonts w:hint="default" w:ascii="Calibri" w:hAnsi="Calibri" w:cs="Calibri"/>
          <w:color w:val="auto"/>
          <w:spacing w:val="0"/>
          <w:sz w:val="24"/>
          <w:szCs w:val="24"/>
          <w:highlight w:val="none"/>
        </w:rPr>
        <w:t>15.1</w:t>
      </w:r>
      <w:r>
        <w:rPr>
          <w:rFonts w:hint="eastAsia" w:ascii="宋体" w:hAnsi="宋体" w:eastAsia="宋体" w:cs="宋体"/>
          <w:color w:val="auto"/>
          <w:spacing w:val="0"/>
          <w:sz w:val="24"/>
          <w:szCs w:val="24"/>
          <w:highlight w:val="none"/>
        </w:rPr>
        <w:t>条规定的质疑，将按照下列规定进行处理：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（1）不符合其中第（</w:t>
      </w:r>
      <w:r>
        <w:rPr>
          <w:rFonts w:hint="default"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）条规定的，书面告知质疑人不予受理及其理由。</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（2）不符合其中第（</w:t>
      </w:r>
      <w:r>
        <w:rPr>
          <w:rFonts w:hint="default" w:ascii="Calibri" w:hAnsi="Calibri" w:cs="Calibri"/>
          <w:color w:val="auto"/>
          <w:spacing w:val="0"/>
          <w:sz w:val="24"/>
          <w:szCs w:val="24"/>
          <w:highlight w:val="none"/>
        </w:rPr>
        <w:t>3</w:t>
      </w:r>
      <w:r>
        <w:rPr>
          <w:rFonts w:hint="eastAsia" w:ascii="宋体" w:hAnsi="宋体" w:eastAsia="宋体" w:cs="宋体"/>
          <w:color w:val="auto"/>
          <w:spacing w:val="0"/>
          <w:sz w:val="24"/>
          <w:szCs w:val="24"/>
          <w:highlight w:val="none"/>
        </w:rPr>
        <w:t>）条规定的，书面告知质疑人修改、补充后在规定时限内重新提交质疑函。</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15.3对符合本章第</w:t>
      </w:r>
      <w:r>
        <w:rPr>
          <w:rFonts w:hint="default" w:ascii="Calibri" w:hAnsi="Calibri" w:cs="Calibri"/>
          <w:color w:val="auto"/>
          <w:spacing w:val="0"/>
          <w:sz w:val="24"/>
          <w:szCs w:val="24"/>
          <w:highlight w:val="none"/>
        </w:rPr>
        <w:t>15.1</w:t>
      </w:r>
      <w:r>
        <w:rPr>
          <w:rFonts w:hint="eastAsia" w:ascii="宋体" w:hAnsi="宋体" w:eastAsia="宋体" w:cs="宋体"/>
          <w:color w:val="auto"/>
          <w:spacing w:val="0"/>
          <w:sz w:val="24"/>
          <w:szCs w:val="24"/>
          <w:highlight w:val="none"/>
        </w:rPr>
        <w:t>条规定的质疑，将按照政府采购法及实施条例</w:t>
      </w:r>
      <w:r>
        <w:rPr>
          <w:rFonts w:hint="eastAsia" w:ascii="宋体" w:hAnsi="宋体" w:eastAsia="宋体" w:cs="宋体"/>
          <w:color w:val="auto"/>
          <w:highlight w:val="none"/>
        </w:rPr>
        <w:t>、政府采购质疑和投诉办法</w:t>
      </w:r>
      <w:r>
        <w:rPr>
          <w:rFonts w:hint="eastAsia" w:ascii="宋体" w:hAnsi="宋体" w:eastAsia="宋体" w:cs="宋体"/>
          <w:color w:val="auto"/>
          <w:spacing w:val="0"/>
          <w:highlight w:val="none"/>
        </w:rPr>
        <w:t>的有关规定进行答复。</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15.4招标文件的质疑：详见招标文件第二章。</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16、投诉</w:t>
      </w:r>
    </w:p>
    <w:p>
      <w:pPr>
        <w:pStyle w:val="16"/>
        <w:keepNext w:val="0"/>
        <w:keepLines w:val="0"/>
        <w:widowControl/>
        <w:suppressLineNumbers w:val="0"/>
        <w:rPr>
          <w:color w:val="auto"/>
          <w:highlight w:val="none"/>
        </w:rPr>
      </w:pPr>
      <w:r>
        <w:rPr>
          <w:rFonts w:hint="eastAsia" w:ascii="宋体" w:hAnsi="宋体" w:eastAsia="宋体" w:cs="宋体"/>
          <w:color w:val="auto"/>
          <w:sz w:val="24"/>
          <w:szCs w:val="24"/>
          <w:highlight w:val="none"/>
        </w:rPr>
        <w:t>16.1若对质疑答复不满意或质疑答复未在答复期限内作出，质疑人可在答复期限届满之日起</w:t>
      </w:r>
      <w:r>
        <w:rPr>
          <w:rFonts w:hint="default" w:ascii="Calibri" w:hAnsi="Calibri" w:eastAsia="宋体" w:cs="Calibri"/>
          <w:color w:val="auto"/>
          <w:sz w:val="24"/>
          <w:szCs w:val="24"/>
          <w:highlight w:val="none"/>
        </w:rPr>
        <w:t>15</w:t>
      </w:r>
      <w:r>
        <w:rPr>
          <w:rFonts w:hint="eastAsia" w:ascii="宋体" w:hAnsi="宋体" w:eastAsia="宋体" w:cs="宋体"/>
          <w:color w:val="auto"/>
          <w:sz w:val="24"/>
          <w:szCs w:val="24"/>
          <w:highlight w:val="none"/>
        </w:rPr>
        <w:t>个工作日内按照政府采购质疑和投诉办法的有关规定向招标文件第二章载明的本项目监督管理部门提起投诉。</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16.2投诉应有明确的请求和必要的证明材料，投诉的事项不得超出已质疑事项的范围。</w:t>
      </w: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八、政府采购政策</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17、政府采购政策由财政部根据国家的经济和社会发展政策并会同国家有关部委制定，包括但不限于下列具体政策要求：</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17.1进口产品指通过中国海关报关验放进入中国境内且产自关境外的产品，其中：</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（2）凡在海关特殊监管区域内企业生产或加工（包括从境外进口料件）销往境内其他地区的产品，不作为政府采购项下进口产品。</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（3）对从境外进入海关特殊监管区域，再经办理报关手续后从海关特殊监管区进入境内其他地区的产品，认定为进口产品。</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（4）招标文件列明不允许或未列明允许进口产品参加投标的，均视为拒绝进口产品参加投标。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4"/>
          <w:szCs w:val="24"/>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22"/>
          <w:rFonts w:hint="eastAsia" w:ascii="宋体" w:hAnsi="宋体" w:eastAsia="宋体" w:cs="宋体"/>
          <w:color w:val="auto"/>
          <w:highlight w:val="none"/>
        </w:rPr>
        <w:t>“残疾人福利性单位”</w:t>
      </w:r>
      <w:r>
        <w:rPr>
          <w:rFonts w:hint="eastAsia" w:ascii="宋体" w:hAnsi="宋体" w:eastAsia="宋体" w:cs="宋体"/>
          <w:color w:val="auto"/>
          <w:sz w:val="24"/>
          <w:szCs w:val="24"/>
          <w:highlight w:val="none"/>
        </w:rPr>
        <w:t>）亦可享受前述扶持政策。其中：</w:t>
      </w:r>
    </w:p>
    <w:p>
      <w:pPr>
        <w:pStyle w:val="16"/>
        <w:keepNext w:val="0"/>
        <w:keepLines w:val="0"/>
        <w:widowControl/>
        <w:suppressLineNumbers w:val="0"/>
        <w:spacing w:before="75" w:beforeAutospacing="0" w:after="75" w:afterAutospacing="0"/>
        <w:ind w:left="0" w:firstLine="240"/>
        <w:rPr>
          <w:color w:val="auto"/>
          <w:highlight w:val="none"/>
        </w:rPr>
      </w:pPr>
      <w:r>
        <w:rPr>
          <w:rFonts w:hint="eastAsia" w:ascii="宋体" w:hAnsi="宋体" w:eastAsia="宋体" w:cs="宋体"/>
          <w:color w:val="auto"/>
          <w:sz w:val="24"/>
          <w:szCs w:val="24"/>
          <w:highlight w:val="none"/>
        </w:rPr>
        <w:t>（1）中小企业指符合下列条件的中型、小型、微型企业：</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①符合《工业和信息化部、国家统计局、国家发展和改革委员会、财政部关于印发中小企业划型标准规定的通知》（工信部联企业</w:t>
      </w:r>
      <w:r>
        <w:rPr>
          <w:rFonts w:hint="default" w:ascii="Calibri" w:hAnsi="Calibri" w:cs="Calibri"/>
          <w:color w:val="auto"/>
          <w:sz w:val="24"/>
          <w:szCs w:val="24"/>
          <w:highlight w:val="none"/>
        </w:rPr>
        <w:t>[2011]300</w:t>
      </w:r>
      <w:r>
        <w:rPr>
          <w:rFonts w:hint="eastAsia" w:ascii="宋体" w:hAnsi="宋体" w:eastAsia="宋体" w:cs="宋体"/>
          <w:color w:val="auto"/>
          <w:sz w:val="24"/>
          <w:szCs w:val="24"/>
          <w:highlight w:val="none"/>
        </w:rPr>
        <w:t>号）规定的划分标准，但与大企业的负责人为同一人，或者与大企业存在直接控股、管理关系的除外；</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②符合中小企业划分标准的个体工商户，在政府采购活动中视同中小企业。</w:t>
      </w:r>
    </w:p>
    <w:p>
      <w:pPr>
        <w:pStyle w:val="16"/>
        <w:keepNext w:val="0"/>
        <w:keepLines w:val="0"/>
        <w:widowControl/>
        <w:suppressLineNumbers w:val="0"/>
        <w:spacing w:before="75" w:beforeAutospacing="0" w:after="75" w:afterAutospacing="0"/>
        <w:ind w:left="0" w:firstLine="240"/>
        <w:rPr>
          <w:color w:val="auto"/>
          <w:highlight w:val="none"/>
        </w:rPr>
      </w:pPr>
      <w:r>
        <w:rPr>
          <w:rFonts w:hint="eastAsia" w:ascii="宋体" w:hAnsi="宋体" w:eastAsia="宋体" w:cs="宋体"/>
          <w:color w:val="auto"/>
          <w:sz w:val="24"/>
          <w:szCs w:val="24"/>
          <w:highlight w:val="none"/>
        </w:rPr>
        <w:t>（2）在政府采购活动中，供应商提供的货物、工程或者服务符合下列情形的，享受本办法规定的中小企业扶持政策：</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①在货物采购项目中，货物由中小企业制造，即货物由中小企业生产且使用该中小企业商号或者注册商标；</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②在工程采购项目中，工程由中小企业承建，即工程施工单位为中小企业；</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③在服务采购项目中，服务由中小企业承接，即提供服务的人员为中小企业依照《中华人民共和国劳动合同法》订立劳动合同的从业人员。</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 xml:space="preserve">在货物采购项目中，供应商提供的货物既有中小企业制造货物，也有大型企业制造货物的，不享受本办法规定的中小企业扶持政策。 </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以联合体形式参加政府采购活动，联合体各方均为中小企业的，联合体视同中小企业。其中，联合体各方均为小微企业的，联合体视同小微企业。</w:t>
      </w:r>
    </w:p>
    <w:p>
      <w:pPr>
        <w:pStyle w:val="16"/>
        <w:keepNext w:val="0"/>
        <w:keepLines w:val="0"/>
        <w:widowControl/>
        <w:suppressLineNumbers w:val="0"/>
        <w:spacing w:before="75" w:beforeAutospacing="0" w:after="75" w:afterAutospacing="0"/>
        <w:ind w:left="0" w:firstLine="240"/>
        <w:rPr>
          <w:color w:val="auto"/>
          <w:highlight w:val="none"/>
        </w:rPr>
      </w:pPr>
      <w:r>
        <w:rPr>
          <w:rFonts w:hint="eastAsia" w:ascii="宋体" w:hAnsi="宋体" w:eastAsia="宋体" w:cs="宋体"/>
          <w:color w:val="auto"/>
          <w:sz w:val="24"/>
          <w:szCs w:val="24"/>
          <w:highlight w:val="none"/>
        </w:rPr>
        <w:t>（3）投标人应当按照招标文件明确的采购标的对应行业的划分标准出具中小企业声明函。</w:t>
      </w:r>
    </w:p>
    <w:p>
      <w:pPr>
        <w:pStyle w:val="16"/>
        <w:keepNext w:val="0"/>
        <w:keepLines w:val="0"/>
        <w:widowControl/>
        <w:suppressLineNumbers w:val="0"/>
        <w:spacing w:before="75" w:beforeAutospacing="0" w:after="75" w:afterAutospacing="0"/>
        <w:ind w:left="0" w:right="0" w:firstLine="240"/>
        <w:rPr>
          <w:color w:val="auto"/>
          <w:highlight w:val="none"/>
        </w:rPr>
      </w:pPr>
      <w:r>
        <w:rPr>
          <w:rFonts w:hint="eastAsia" w:ascii="宋体" w:hAnsi="宋体" w:eastAsia="宋体" w:cs="宋体"/>
          <w:color w:val="auto"/>
          <w:sz w:val="24"/>
          <w:szCs w:val="24"/>
          <w:highlight w:val="none"/>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6"/>
        <w:keepNext w:val="0"/>
        <w:keepLines w:val="0"/>
        <w:widowControl/>
        <w:suppressLineNumbers w:val="0"/>
        <w:spacing w:before="75" w:beforeAutospacing="0" w:after="75" w:afterAutospacing="0"/>
        <w:ind w:left="0" w:right="0" w:firstLine="240"/>
        <w:rPr>
          <w:color w:val="auto"/>
          <w:highlight w:val="none"/>
        </w:rPr>
      </w:pPr>
      <w:r>
        <w:rPr>
          <w:rFonts w:hint="eastAsia" w:ascii="宋体" w:hAnsi="宋体" w:eastAsia="宋体" w:cs="宋体"/>
          <w:color w:val="auto"/>
          <w:sz w:val="24"/>
          <w:szCs w:val="24"/>
          <w:highlight w:val="none"/>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z w:val="24"/>
          <w:szCs w:val="24"/>
          <w:highlight w:val="none"/>
        </w:rPr>
        <w:t>①监狱企业参加采购活动时，应提供由省级以上监狱管理局、戒毒管理局（含新疆生产建设兵团）出具的属于监狱企业的证明文件。</w:t>
      </w:r>
    </w:p>
    <w:p>
      <w:pPr>
        <w:pStyle w:val="16"/>
        <w:keepNext w:val="0"/>
        <w:keepLines w:val="0"/>
        <w:widowControl/>
        <w:suppressLineNumbers w:val="0"/>
        <w:spacing w:before="75" w:beforeAutospacing="0" w:after="240" w:afterAutospacing="0"/>
        <w:ind w:left="0" w:right="0" w:firstLine="480"/>
        <w:rPr>
          <w:color w:val="auto"/>
          <w:highlight w:val="none"/>
        </w:rPr>
      </w:pPr>
      <w:r>
        <w:rPr>
          <w:rFonts w:hint="eastAsia" w:ascii="宋体" w:hAnsi="宋体" w:eastAsia="宋体" w:cs="宋体"/>
          <w:color w:val="auto"/>
          <w:sz w:val="24"/>
          <w:szCs w:val="24"/>
          <w:highlight w:val="none"/>
        </w:rPr>
        <w:t>②监狱企业视同小型、微型企业。</w:t>
      </w:r>
    </w:p>
    <w:p>
      <w:pPr>
        <w:pStyle w:val="16"/>
        <w:keepNext w:val="0"/>
        <w:keepLines w:val="0"/>
        <w:widowControl/>
        <w:suppressLineNumbers w:val="0"/>
        <w:spacing w:before="75" w:beforeAutospacing="0" w:after="75" w:afterAutospacing="0"/>
        <w:ind w:left="0" w:right="0" w:firstLine="240"/>
        <w:rPr>
          <w:color w:val="auto"/>
          <w:highlight w:val="none"/>
        </w:rPr>
      </w:pPr>
      <w:r>
        <w:rPr>
          <w:rFonts w:hint="eastAsia" w:ascii="宋体" w:hAnsi="宋体" w:eastAsia="宋体" w:cs="宋体"/>
          <w:color w:val="auto"/>
          <w:sz w:val="24"/>
          <w:szCs w:val="24"/>
          <w:highlight w:val="none"/>
        </w:rPr>
        <w:t>（5）残疾人福利性单位指同时符合下列条件的单位：</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①安置的残疾人占本单位在职职工人数的比例不低于</w:t>
      </w:r>
      <w:r>
        <w:rPr>
          <w:rFonts w:hint="default" w:ascii="Calibri" w:hAnsi="Calibri" w:cs="Calibri"/>
          <w:color w:val="auto"/>
          <w:sz w:val="24"/>
          <w:szCs w:val="24"/>
          <w:highlight w:val="none"/>
        </w:rPr>
        <w:t>25%</w:t>
      </w:r>
      <w:r>
        <w:rPr>
          <w:rFonts w:hint="eastAsia" w:ascii="宋体" w:hAnsi="宋体" w:eastAsia="宋体" w:cs="宋体"/>
          <w:color w:val="auto"/>
          <w:sz w:val="24"/>
          <w:szCs w:val="24"/>
          <w:highlight w:val="none"/>
        </w:rPr>
        <w:t>（含</w:t>
      </w:r>
      <w:r>
        <w:rPr>
          <w:rFonts w:hint="default" w:ascii="Calibri" w:hAnsi="Calibri" w:cs="Calibri"/>
          <w:color w:val="auto"/>
          <w:sz w:val="24"/>
          <w:szCs w:val="24"/>
          <w:highlight w:val="none"/>
        </w:rPr>
        <w:t>25%</w:t>
      </w:r>
      <w:r>
        <w:rPr>
          <w:rFonts w:hint="eastAsia" w:ascii="宋体" w:hAnsi="宋体" w:eastAsia="宋体" w:cs="宋体"/>
          <w:color w:val="auto"/>
          <w:sz w:val="24"/>
          <w:szCs w:val="24"/>
          <w:highlight w:val="none"/>
        </w:rPr>
        <w:t>），并且安置的残疾人人数不少于</w:t>
      </w:r>
      <w:r>
        <w:rPr>
          <w:rFonts w:hint="default" w:ascii="Calibri" w:hAnsi="Calibri" w:cs="Calibri"/>
          <w:color w:val="auto"/>
          <w:sz w:val="24"/>
          <w:szCs w:val="24"/>
          <w:highlight w:val="none"/>
        </w:rPr>
        <w:t>10</w:t>
      </w:r>
      <w:r>
        <w:rPr>
          <w:rFonts w:hint="eastAsia" w:ascii="宋体" w:hAnsi="宋体" w:eastAsia="宋体" w:cs="宋体"/>
          <w:color w:val="auto"/>
          <w:sz w:val="24"/>
          <w:szCs w:val="24"/>
          <w:highlight w:val="none"/>
        </w:rPr>
        <w:t>人（含</w:t>
      </w:r>
      <w:r>
        <w:rPr>
          <w:rFonts w:hint="default" w:ascii="Calibri" w:hAnsi="Calibri" w:cs="Calibri"/>
          <w:color w:val="auto"/>
          <w:sz w:val="24"/>
          <w:szCs w:val="24"/>
          <w:highlight w:val="none"/>
        </w:rPr>
        <w:t>10</w:t>
      </w:r>
      <w:r>
        <w:rPr>
          <w:rFonts w:hint="eastAsia" w:ascii="宋体" w:hAnsi="宋体" w:eastAsia="宋体" w:cs="宋体"/>
          <w:color w:val="auto"/>
          <w:sz w:val="24"/>
          <w:szCs w:val="24"/>
          <w:highlight w:val="none"/>
        </w:rPr>
        <w:t>人）；</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②依法与安置的每位残疾人签订了一年以上（含一年）的劳动合同或服务协议；</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③为安置的每位残疾人按月足额缴纳了基本养老保险、基本医疗保险、失业保险、工伤保险和生育保险等社会保险费；</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④通过银行等金融机构向安置的每位残疾人，按月支付了不低于单位所在区县适用的经省级人民政府批准的月最低工资标准的工资；</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⑤提供本单位制造的货物、承担的工程或服务，或提供其他残疾人福利性单位制造的货物（不包括使用非残疾人福利性单位注册商标的货物）。</w:t>
      </w:r>
    </w:p>
    <w:p>
      <w:pPr>
        <w:pStyle w:val="16"/>
        <w:keepNext w:val="0"/>
        <w:keepLines w:val="0"/>
        <w:widowControl/>
        <w:suppressLineNumbers w:val="0"/>
        <w:spacing w:before="75" w:beforeAutospacing="0" w:after="75" w:afterAutospacing="0"/>
        <w:ind w:left="0" w:firstLine="480"/>
        <w:rPr>
          <w:color w:val="auto"/>
          <w:highlight w:val="none"/>
        </w:rPr>
      </w:pPr>
      <w:r>
        <w:rPr>
          <w:rFonts w:hint="eastAsia" w:ascii="宋体" w:hAnsi="宋体" w:eastAsia="宋体" w:cs="宋体"/>
          <w:color w:val="auto"/>
          <w:sz w:val="24"/>
          <w:szCs w:val="24"/>
          <w:highlight w:val="none"/>
        </w:rPr>
        <w:t>前款所称残疾人指法定劳动年龄内，持有《中华人民共和国残疾人证》或《中华人民共和国残疾军人证（1至</w:t>
      </w:r>
      <w:r>
        <w:rPr>
          <w:rFonts w:hint="default" w:ascii="Calibri" w:hAnsi="Calibri" w:cs="Calibri"/>
          <w:color w:val="auto"/>
          <w:sz w:val="24"/>
          <w:szCs w:val="24"/>
          <w:highlight w:val="none"/>
        </w:rPr>
        <w:t>8</w:t>
      </w:r>
      <w:r>
        <w:rPr>
          <w:rFonts w:hint="eastAsia" w:ascii="宋体" w:hAnsi="宋体" w:eastAsia="宋体" w:cs="宋体"/>
          <w:color w:val="auto"/>
          <w:sz w:val="24"/>
          <w:szCs w:val="24"/>
          <w:highlight w:val="none"/>
        </w:rPr>
        <w:t>级）》的自然人，包括具有劳动条件和劳动意愿的精神残疾人。在职职工人数是指与残疾人福利性单位建立劳动关系并依法签订劳动合同或服务协议的雇员人数。</w:t>
      </w:r>
    </w:p>
    <w:p>
      <w:pPr>
        <w:pStyle w:val="16"/>
        <w:keepNext w:val="0"/>
        <w:keepLines w:val="0"/>
        <w:widowControl/>
        <w:suppressLineNumbers w:val="0"/>
        <w:spacing w:before="75" w:beforeAutospacing="0" w:after="75" w:afterAutospacing="0"/>
        <w:ind w:left="0" w:firstLine="480"/>
        <w:rPr>
          <w:color w:val="auto"/>
          <w:highlight w:val="none"/>
        </w:rPr>
      </w:pPr>
      <w:r>
        <w:rPr>
          <w:rStyle w:val="22"/>
          <w:rFonts w:hint="eastAsia" w:ascii="宋体" w:hAnsi="宋体" w:eastAsia="宋体" w:cs="宋体"/>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17.5信用记录指由财政部确定的有关网站提供的相关主体信用信息。信用记录的查询及使用应符合财政部文件（财库</w:t>
      </w:r>
      <w:r>
        <w:rPr>
          <w:rFonts w:hint="default" w:ascii="Calibri" w:hAnsi="Calibri" w:cs="Calibri"/>
          <w:color w:val="auto"/>
          <w:spacing w:val="0"/>
          <w:sz w:val="24"/>
          <w:szCs w:val="24"/>
          <w:highlight w:val="none"/>
        </w:rPr>
        <w:t>[2016]125</w:t>
      </w:r>
      <w:r>
        <w:rPr>
          <w:rFonts w:hint="eastAsia" w:ascii="宋体" w:hAnsi="宋体" w:eastAsia="宋体" w:cs="宋体"/>
          <w:color w:val="auto"/>
          <w:spacing w:val="0"/>
          <w:sz w:val="24"/>
          <w:szCs w:val="24"/>
          <w:highlight w:val="none"/>
        </w:rPr>
        <w:t>号）规定。</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17.6为落实政府采购政策需满足的要求：详见招标文件第一章。</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jc w:val="center"/>
        <w:textAlignment w:val="auto"/>
        <w:rPr>
          <w:color w:val="auto"/>
          <w:highlight w:val="none"/>
        </w:rPr>
      </w:pPr>
      <w:r>
        <w:rPr>
          <w:rStyle w:val="22"/>
          <w:rFonts w:hint="eastAsia" w:ascii="宋体" w:hAnsi="宋体" w:eastAsia="宋体" w:cs="宋体"/>
          <w:color w:val="auto"/>
          <w:spacing w:val="0"/>
          <w:sz w:val="24"/>
          <w:szCs w:val="24"/>
          <w:highlight w:val="none"/>
        </w:rPr>
        <w:t>九、本项目的有关信息</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color w:val="auto"/>
          <w:highlight w:val="none"/>
        </w:rPr>
      </w:pPr>
      <w:r>
        <w:rPr>
          <w:rFonts w:hint="eastAsia" w:ascii="宋体" w:hAnsi="宋体" w:eastAsia="宋体" w:cs="宋体"/>
          <w:color w:val="auto"/>
          <w:spacing w:val="0"/>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color w:val="auto"/>
          <w:highlight w:val="none"/>
        </w:rPr>
      </w:pPr>
      <w:r>
        <w:rPr>
          <w:rFonts w:hint="eastAsia" w:ascii="宋体" w:hAnsi="宋体" w:eastAsia="宋体" w:cs="宋体"/>
          <w:color w:val="auto"/>
          <w:spacing w:val="0"/>
          <w:sz w:val="24"/>
          <w:szCs w:val="24"/>
          <w:highlight w:val="none"/>
        </w:rPr>
        <w:t>18.1指定媒体：详见招标文件第二章。</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color w:val="auto"/>
          <w:highlight w:val="none"/>
        </w:rPr>
      </w:pPr>
      <w:r>
        <w:rPr>
          <w:rFonts w:hint="eastAsia" w:ascii="宋体" w:hAnsi="宋体" w:eastAsia="宋体" w:cs="宋体"/>
          <w:color w:val="auto"/>
          <w:spacing w:val="0"/>
          <w:sz w:val="24"/>
          <w:szCs w:val="24"/>
          <w:highlight w:val="none"/>
        </w:rPr>
        <w:t>18.2本项目的潜在投标人或投标人应随时关注指定媒体，否则产生不利后果由其自行承担。</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jc w:val="center"/>
        <w:textAlignment w:val="auto"/>
        <w:rPr>
          <w:color w:val="auto"/>
          <w:highlight w:val="none"/>
        </w:rPr>
      </w:pPr>
      <w:r>
        <w:rPr>
          <w:rStyle w:val="22"/>
          <w:rFonts w:hint="eastAsia" w:ascii="宋体" w:hAnsi="宋体" w:eastAsia="宋体" w:cs="宋体"/>
          <w:color w:val="auto"/>
          <w:spacing w:val="0"/>
          <w:sz w:val="24"/>
          <w:szCs w:val="24"/>
          <w:highlight w:val="none"/>
        </w:rPr>
        <w:t>十、其他事项</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19、其他事项：</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color w:val="auto"/>
          <w:highlight w:val="none"/>
        </w:rPr>
      </w:pPr>
      <w:r>
        <w:rPr>
          <w:rFonts w:hint="eastAsia" w:ascii="宋体" w:hAnsi="宋体" w:eastAsia="宋体" w:cs="宋体"/>
          <w:color w:val="auto"/>
          <w:spacing w:val="0"/>
          <w:sz w:val="24"/>
          <w:szCs w:val="24"/>
          <w:highlight w:val="none"/>
        </w:rPr>
        <w:t>  </w:t>
      </w:r>
      <w:r>
        <w:rPr>
          <w:rFonts w:hint="eastAsia" w:ascii="宋体" w:hAnsi="宋体" w:eastAsia="宋体" w:cs="宋体"/>
          <w:color w:val="auto"/>
          <w:highlight w:val="none"/>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6"/>
        <w:keepNext w:val="0"/>
        <w:keepLines w:val="0"/>
        <w:pageBreakBefore w:val="0"/>
        <w:widowControl/>
        <w:suppressLineNumbers w:val="0"/>
        <w:kinsoku/>
        <w:wordWrap/>
        <w:overflowPunct/>
        <w:topLinePunct w:val="0"/>
        <w:autoSpaceDE/>
        <w:autoSpaceDN/>
        <w:bidi w:val="0"/>
        <w:adjustRightInd/>
        <w:snapToGrid/>
        <w:spacing w:line="300" w:lineRule="exact"/>
        <w:textAlignment w:val="auto"/>
        <w:rPr>
          <w:color w:val="auto"/>
          <w:highlight w:val="none"/>
        </w:rPr>
      </w:pPr>
      <w:r>
        <w:rPr>
          <w:rFonts w:hint="eastAsia" w:ascii="宋体" w:hAnsi="宋体" w:eastAsia="宋体" w:cs="宋体"/>
          <w:color w:val="auto"/>
          <w:highlight w:val="none"/>
        </w:rPr>
        <w:t>   19.2其他：详见招标文件第二章。</w:t>
      </w: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rPr>
          <w:rStyle w:val="22"/>
          <w:rFonts w:hint="eastAsia" w:ascii="宋体" w:hAnsi="宋体" w:eastAsia="宋体" w:cs="宋体"/>
          <w:color w:val="auto"/>
          <w:spacing w:val="0"/>
          <w:sz w:val="31"/>
          <w:szCs w:val="31"/>
          <w:highlight w:val="none"/>
        </w:rPr>
      </w:pPr>
      <w:r>
        <w:rPr>
          <w:rStyle w:val="22"/>
          <w:rFonts w:hint="eastAsia" w:ascii="宋体" w:hAnsi="宋体" w:eastAsia="宋体" w:cs="宋体"/>
          <w:color w:val="auto"/>
          <w:spacing w:val="0"/>
          <w:sz w:val="31"/>
          <w:szCs w:val="31"/>
          <w:highlight w:val="none"/>
        </w:rPr>
        <w:br w:type="page"/>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31"/>
          <w:szCs w:val="31"/>
          <w:highlight w:val="none"/>
        </w:rPr>
        <w:t>第四章   资格审查与评标</w:t>
      </w: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一、资格审查</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1、开标结束后，</w:t>
      </w:r>
      <w:r>
        <w:rPr>
          <w:rFonts w:hint="eastAsia" w:ascii="宋体" w:hAnsi="宋体" w:eastAsia="宋体" w:cs="宋体"/>
          <w:color w:val="auto"/>
          <w:spacing w:val="0"/>
          <w:sz w:val="24"/>
          <w:szCs w:val="24"/>
          <w:highlight w:val="none"/>
          <w:lang w:eastAsia="zh-CN"/>
        </w:rPr>
        <w:t>福建亿立项目管理有限公司</w:t>
      </w:r>
      <w:r>
        <w:rPr>
          <w:rFonts w:hint="eastAsia" w:ascii="宋体" w:hAnsi="宋体" w:eastAsia="宋体" w:cs="宋体"/>
          <w:color w:val="auto"/>
          <w:spacing w:val="0"/>
          <w:sz w:val="24"/>
          <w:szCs w:val="24"/>
          <w:highlight w:val="none"/>
        </w:rPr>
        <w:t>负责资格审查小组的组建及资格审查工作的组织。</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1.1资格审查小组由3人组成，并负责具体审查事务，其中：由采购人派出的采购人代表至少1人，由</w:t>
      </w:r>
      <w:r>
        <w:rPr>
          <w:rFonts w:hint="eastAsia" w:ascii="宋体" w:hAnsi="宋体" w:eastAsia="宋体" w:cs="宋体"/>
          <w:color w:val="auto"/>
          <w:spacing w:val="0"/>
          <w:sz w:val="24"/>
          <w:szCs w:val="24"/>
          <w:highlight w:val="none"/>
          <w:lang w:eastAsia="zh-CN"/>
        </w:rPr>
        <w:t>福建亿立项目管理有限公司</w:t>
      </w:r>
      <w:r>
        <w:rPr>
          <w:rFonts w:hint="eastAsia" w:ascii="宋体" w:hAnsi="宋体" w:eastAsia="宋体" w:cs="宋体"/>
          <w:color w:val="auto"/>
          <w:spacing w:val="0"/>
          <w:sz w:val="24"/>
          <w:szCs w:val="24"/>
          <w:highlight w:val="none"/>
        </w:rPr>
        <w:t>派出的工作人员至少1人，其余1人可为采购人代表或</w:t>
      </w:r>
      <w:r>
        <w:rPr>
          <w:rFonts w:hint="eastAsia" w:ascii="宋体" w:hAnsi="宋体" w:eastAsia="宋体" w:cs="宋体"/>
          <w:color w:val="auto"/>
          <w:spacing w:val="0"/>
          <w:sz w:val="24"/>
          <w:szCs w:val="24"/>
          <w:highlight w:val="none"/>
          <w:lang w:eastAsia="zh-CN"/>
        </w:rPr>
        <w:t>福建亿立项目管理有限公司</w:t>
      </w:r>
      <w:r>
        <w:rPr>
          <w:rFonts w:hint="eastAsia" w:ascii="宋体" w:hAnsi="宋体" w:eastAsia="宋体" w:cs="宋体"/>
          <w:color w:val="auto"/>
          <w:spacing w:val="0"/>
          <w:sz w:val="24"/>
          <w:szCs w:val="24"/>
          <w:highlight w:val="none"/>
        </w:rPr>
        <w:t>的工作人员。</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1.2资格审查的依据是招标文件和投标文件。</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1.3资格审查的范围及内容：投标文件（资格及资信证明部分），具体如下：</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  （1）“投标函”；</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  （2）“投标人的资格及资信证明文件”</w:t>
      </w:r>
    </w:p>
    <w:p>
      <w:pPr>
        <w:pStyle w:val="1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   ①一般资格证明文件：</w:t>
      </w:r>
    </w:p>
    <w:tbl>
      <w:tblPr>
        <w:tblStyle w:val="19"/>
        <w:tblW w:w="9227"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499"/>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1499" w:type="dxa"/>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c>
          <w:tcPr>
            <w:tcW w:w="7728" w:type="dxa"/>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（1）单位授权书</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（2）营业执照等证明文件</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（3）提供财务状况报告(财务报告、或资信证明）</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①投标人提供的财务报告复印件（成立年限按照投标截止时间推算）应符合下列规定： a.成立年限满1年及以上的投标人，提供经审计的上一年度</w:t>
            </w:r>
            <w:r>
              <w:rPr>
                <w:rFonts w:hint="eastAsia" w:ascii="宋体" w:hAnsi="宋体" w:cs="宋体"/>
                <w:color w:val="auto"/>
                <w:kern w:val="0"/>
                <w:sz w:val="24"/>
                <w:szCs w:val="24"/>
                <w:highlight w:val="none"/>
                <w:lang w:val="en-US" w:eastAsia="zh-CN" w:bidi="ar"/>
              </w:rPr>
              <w:t>（或2021年度）</w:t>
            </w:r>
            <w:r>
              <w:rPr>
                <w:rFonts w:ascii="宋体" w:hAnsi="宋体" w:eastAsia="宋体" w:cs="宋体"/>
                <w:color w:val="auto"/>
                <w:kern w:val="0"/>
                <w:sz w:val="24"/>
                <w:szCs w:val="24"/>
                <w:highlight w:val="none"/>
                <w:lang w:val="en-US" w:eastAsia="zh-CN" w:bidi="ar"/>
              </w:rPr>
              <w:t>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（4）依法缴纳税收证明材料</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w:t>
            </w:r>
            <w:r>
              <w:rPr>
                <w:rFonts w:ascii="宋体" w:hAnsi="宋体" w:eastAsia="宋体" w:cs="宋体"/>
                <w:color w:val="auto"/>
                <w:sz w:val="24"/>
                <w:szCs w:val="24"/>
                <w:highlight w:val="none"/>
              </w:rPr>
              <w:t>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b.投标截止时间的当月成立且已依法缴纳税收的投标人，提供投标截止时间当月的税收缴纳凭据复印件。 c.投标截止时间的当月成立但因税务机关原因导致其尚未依法缴纳税收的投标人，提供依法缴纳税收承诺书（格式自拟）的，视同满足本项资格条件要求。 d.若为依法免税范围的投标人，提供依法免税证明材料的，视同满足本项资格条件要求。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（5）依法缴纳社会保障资金证明材料</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w:t>
            </w:r>
            <w:r>
              <w:rPr>
                <w:rFonts w:ascii="宋体" w:hAnsi="宋体" w:eastAsia="宋体" w:cs="宋体"/>
                <w:color w:val="auto"/>
                <w:sz w:val="24"/>
                <w:szCs w:val="24"/>
                <w:highlight w:val="none"/>
              </w:rPr>
              <w:t>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b.投标截止时间的当月成立且已依法缴纳社会保障资金的投标人，提供投标截止时间当月的社会保障资金缴纳凭据复印件。 c.投标截止时间的当月成立但因税务机关/社会保障资金管理机关原因导致其尚未依法缴纳社会保障资金的投标人，提供依法缴纳社会保障资金承诺书（格式自拟）的，视同满足本项资格条件要求。 d.若为依法不需要缴纳或暂缓缴纳社会保障资金的投标人，提供依法不需要缴纳或暂缓缴纳社会保障资金证明材料的，视同满足本项资格条件要求。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（6）具备履行合同所必需设备和专业技术能力的声明函(若有)</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（7）参加采购活动前三年内在经营活动中没有重大违法记录的声明</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（8）信用记录查询结果</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（9）中小企业声明函（以资格条件落实中小企业扶持政策时适用 ）</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499"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（10）联合体协议（若有）</w:t>
            </w:r>
          </w:p>
        </w:tc>
        <w:tc>
          <w:tcPr>
            <w:tcW w:w="7728"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pStyle w:val="16"/>
        <w:keepNext w:val="0"/>
        <w:keepLines w:val="0"/>
        <w:widowControl/>
        <w:suppressLineNumbers w:val="0"/>
        <w:rPr>
          <w:color w:val="auto"/>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pacing w:val="0"/>
          <w:sz w:val="24"/>
          <w:szCs w:val="24"/>
          <w:highlight w:val="none"/>
        </w:rPr>
        <w:t>备注说明</w:t>
      </w:r>
    </w:p>
    <w:p>
      <w:pPr>
        <w:pStyle w:val="16"/>
        <w:keepNext w:val="0"/>
        <w:keepLines w:val="0"/>
        <w:widowControl/>
        <w:suppressLineNumbers w:val="0"/>
        <w:rPr>
          <w:color w:val="auto"/>
          <w:highlight w:val="none"/>
        </w:rPr>
      </w:pPr>
      <w:r>
        <w:rPr>
          <w:rFonts w:hint="eastAsia" w:ascii="宋体" w:hAnsi="宋体" w:eastAsia="宋体" w:cs="宋体"/>
          <w:color w:val="auto"/>
          <w:sz w:val="24"/>
          <w:szCs w:val="24"/>
          <w:highlight w:val="none"/>
        </w:rPr>
        <w:t>①投标人应根据自身实际情况提供上述资格要求的证明材料，格式可参考招标文件第七章提供。</w:t>
      </w:r>
    </w:p>
    <w:p>
      <w:pPr>
        <w:pStyle w:val="16"/>
        <w:keepNext w:val="0"/>
        <w:keepLines w:val="0"/>
        <w:widowControl/>
        <w:suppressLineNumbers w:val="0"/>
        <w:rPr>
          <w:color w:val="auto"/>
          <w:highlight w:val="none"/>
        </w:rPr>
      </w:pPr>
      <w:r>
        <w:rPr>
          <w:rFonts w:hint="eastAsia" w:ascii="宋体" w:hAnsi="宋体" w:eastAsia="宋体" w:cs="宋体"/>
          <w:color w:val="auto"/>
          <w:sz w:val="24"/>
          <w:szCs w:val="24"/>
          <w:highlight w:val="none"/>
        </w:rPr>
        <w:t>②投标人提供的相应证明材料复印件均应符合：内容完整、清晰、整洁，并由投标人加盖其单位公章。</w:t>
      </w:r>
    </w:p>
    <w:p>
      <w:pPr>
        <w:pStyle w:val="16"/>
        <w:keepNext w:val="0"/>
        <w:keepLines w:val="0"/>
        <w:widowControl/>
        <w:suppressLineNumbers w:val="0"/>
        <w:rPr>
          <w:rFonts w:hint="eastAsia" w:eastAsia="宋体"/>
          <w:color w:val="auto"/>
          <w:highlight w:val="none"/>
          <w:lang w:eastAsia="zh-CN"/>
        </w:rPr>
      </w:pPr>
    </w:p>
    <w:p>
      <w:pPr>
        <w:pStyle w:val="16"/>
        <w:keepNext w:val="0"/>
        <w:keepLines w:val="0"/>
        <w:widowControl/>
        <w:suppressLineNumbers w:val="0"/>
        <w:spacing w:before="75" w:beforeAutospacing="0" w:after="75" w:afterAutospacing="0"/>
        <w:ind w:right="0"/>
        <w:rPr>
          <w:rFonts w:hint="default" w:eastAsia="宋体"/>
          <w:color w:val="auto"/>
          <w:highlight w:val="none"/>
          <w:lang w:val="en-US" w:eastAsia="zh-CN"/>
        </w:rPr>
      </w:pPr>
      <w:r>
        <w:rPr>
          <w:rFonts w:hint="eastAsia" w:ascii="宋体" w:hAnsi="宋体" w:eastAsia="宋体" w:cs="宋体"/>
          <w:color w:val="auto"/>
          <w:spacing w:val="0"/>
          <w:highlight w:val="none"/>
        </w:rPr>
        <w:t>②.其他资格证明文件：</w:t>
      </w:r>
      <w:r>
        <w:rPr>
          <w:rFonts w:hint="eastAsia"/>
          <w:color w:val="auto"/>
          <w:spacing w:val="0"/>
          <w:sz w:val="24"/>
          <w:szCs w:val="24"/>
          <w:highlight w:val="none"/>
          <w:lang w:val="en-US" w:eastAsia="zh-CN"/>
        </w:rPr>
        <w:t xml:space="preserve"> 无</w:t>
      </w:r>
    </w:p>
    <w:p>
      <w:pPr>
        <w:keepNext w:val="0"/>
        <w:keepLines w:val="0"/>
        <w:widowControl/>
        <w:suppressLineNumbers w:val="0"/>
        <w:jc w:val="left"/>
        <w:rPr>
          <w:color w:val="auto"/>
          <w:highlight w:val="none"/>
        </w:rPr>
      </w:pPr>
      <w:r>
        <w:rPr>
          <w:rFonts w:hint="eastAsia" w:ascii="宋体" w:hAnsi="宋体" w:eastAsia="宋体" w:cs="宋体"/>
          <w:color w:val="auto"/>
          <w:spacing w:val="0"/>
          <w:kern w:val="0"/>
          <w:sz w:val="24"/>
          <w:szCs w:val="24"/>
          <w:highlight w:val="none"/>
          <w:lang w:val="en-US" w:eastAsia="zh-CN" w:bidi="ar"/>
        </w:rPr>
        <w:t>  （3）投标保证金。</w:t>
      </w:r>
    </w:p>
    <w:p>
      <w:pPr>
        <w:pStyle w:val="16"/>
        <w:keepNext w:val="0"/>
        <w:keepLines w:val="0"/>
        <w:widowControl/>
        <w:suppressLineNumbers w:val="0"/>
        <w:spacing w:before="75" w:beforeAutospacing="0" w:after="75" w:afterAutospacing="0"/>
        <w:ind w:left="0" w:right="0" w:firstLine="0"/>
        <w:rPr>
          <w:rStyle w:val="22"/>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1.4有下列情形之一的，</w:t>
      </w:r>
      <w:r>
        <w:rPr>
          <w:rStyle w:val="22"/>
          <w:rFonts w:hint="eastAsia" w:ascii="宋体" w:hAnsi="宋体" w:eastAsia="宋体" w:cs="宋体"/>
          <w:color w:val="auto"/>
          <w:spacing w:val="0"/>
          <w:sz w:val="24"/>
          <w:szCs w:val="24"/>
          <w:highlight w:val="none"/>
        </w:rPr>
        <w:t>资格审查不合格：</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highlight w:val="none"/>
        </w:rPr>
        <w:t>  （1）一般情形：</w:t>
      </w:r>
    </w:p>
    <w:tbl>
      <w:tblPr>
        <w:tblStyle w:val="19"/>
        <w:tblW w:w="923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未按照招标文件规定提交投标保证金</w:t>
            </w:r>
          </w:p>
        </w:tc>
      </w:tr>
    </w:tbl>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（2）本项目规定的其他情形：</w:t>
      </w:r>
    </w:p>
    <w:p>
      <w:pPr>
        <w:pStyle w:val="16"/>
        <w:keepNext w:val="0"/>
        <w:keepLines w:val="0"/>
        <w:widowControl/>
        <w:suppressLineNumbers w:val="0"/>
        <w:ind w:left="0" w:firstLine="480"/>
        <w:rPr>
          <w:rFonts w:hint="eastAsia" w:eastAsia="宋体"/>
          <w:color w:val="auto"/>
          <w:highlight w:val="none"/>
          <w:lang w:eastAsia="zh-CN"/>
        </w:rPr>
      </w:pPr>
      <w:r>
        <w:rPr>
          <w:rStyle w:val="22"/>
          <w:color w:val="auto"/>
          <w:highlight w:val="none"/>
        </w:rPr>
        <w:t>包：1</w:t>
      </w:r>
      <w:r>
        <w:rPr>
          <w:color w:val="auto"/>
          <w:highlight w:val="none"/>
        </w:rPr>
        <w:t xml:space="preserve"> </w:t>
      </w:r>
    </w:p>
    <w:p>
      <w:pPr>
        <w:pStyle w:val="16"/>
        <w:keepNext w:val="0"/>
        <w:keepLines w:val="0"/>
        <w:widowControl/>
        <w:suppressLineNumbers w:val="0"/>
        <w:ind w:left="0" w:firstLine="480"/>
        <w:rPr>
          <w:color w:val="auto"/>
          <w:highlight w:val="none"/>
        </w:rPr>
      </w:pPr>
      <w:r>
        <w:rPr>
          <w:rStyle w:val="22"/>
          <w:color w:val="auto"/>
          <w:sz w:val="24"/>
          <w:szCs w:val="24"/>
          <w:highlight w:val="none"/>
        </w:rPr>
        <w:t>         无</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24"/>
          <w:szCs w:val="24"/>
          <w:highlight w:val="none"/>
        </w:rPr>
        <w:t>1.2</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1.3</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1.4</w:t>
      </w:r>
      <w:r>
        <w:rPr>
          <w:rFonts w:hint="eastAsia" w:ascii="宋体" w:hAnsi="宋体" w:eastAsia="宋体" w:cs="宋体"/>
          <w:color w:val="auto"/>
          <w:spacing w:val="0"/>
          <w:sz w:val="24"/>
          <w:szCs w:val="24"/>
          <w:highlight w:val="none"/>
        </w:rPr>
        <w:t>条规定进行资格审查。</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2、资格审查情况不得私自外泄，有关信息由</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统一对外发布。</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3、资格审查合格的投标人不足三家的，不进行评标。同时，本次采购活动结束，</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将依法组织后续采购活动（包括但不限于：重新招标、采用其他方式采购等）。</w:t>
      </w:r>
    </w:p>
    <w:p>
      <w:pPr>
        <w:pStyle w:val="16"/>
        <w:keepNext w:val="0"/>
        <w:keepLines w:val="0"/>
        <w:widowControl/>
        <w:suppressLineNumbers w:val="0"/>
        <w:spacing w:before="75" w:beforeAutospacing="0" w:after="75" w:afterAutospacing="0"/>
        <w:ind w:left="0" w:right="0" w:firstLine="0"/>
        <w:rPr>
          <w:color w:val="auto"/>
          <w:highlight w:val="none"/>
        </w:rPr>
      </w:pP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二、评标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4、</w:t>
      </w:r>
      <w:r>
        <w:rPr>
          <w:rFonts w:hint="eastAsia" w:ascii="宋体" w:hAnsi="宋体" w:eastAsia="宋体" w:cs="宋体"/>
          <w:color w:val="auto"/>
          <w:highlight w:val="none"/>
        </w:rPr>
        <w:t>资格审查结束后，由</w:t>
      </w:r>
      <w:r>
        <w:rPr>
          <w:rFonts w:hint="eastAsia" w:ascii="宋体" w:hAnsi="宋体" w:eastAsia="宋体" w:cs="宋体"/>
          <w:color w:val="auto"/>
          <w:spacing w:val="0"/>
          <w:highlight w:val="none"/>
        </w:rPr>
        <w:t>福建亿立项目管理有限公司负责评标委员会的组建及评标工作的组织。</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5、评标委员会</w:t>
      </w:r>
    </w:p>
    <w:p>
      <w:pPr>
        <w:keepNext w:val="0"/>
        <w:keepLines w:val="0"/>
        <w:pageBreakBefore w:val="0"/>
        <w:widowControl/>
        <w:kinsoku/>
        <w:wordWrap/>
        <w:overflowPunct/>
        <w:topLinePunct w:val="0"/>
        <w:autoSpaceDE/>
        <w:autoSpaceDN/>
        <w:bidi w:val="0"/>
        <w:spacing w:line="400" w:lineRule="exact"/>
        <w:jc w:val="left"/>
        <w:textAlignment w:val="auto"/>
        <w:rPr>
          <w:color w:val="auto"/>
          <w:highlight w:val="none"/>
        </w:rPr>
      </w:pPr>
      <w:r>
        <w:rPr>
          <w:rFonts w:ascii="宋体" w:hAnsi="宋体" w:cs="宋体"/>
          <w:color w:val="auto"/>
          <w:kern w:val="0"/>
          <w:sz w:val="24"/>
          <w:highlight w:val="none"/>
        </w:rPr>
        <w:t>5.1</w:t>
      </w:r>
      <w:r>
        <w:rPr>
          <w:rFonts w:hint="eastAsia" w:ascii="宋体" w:hAnsi="宋体" w:cs="宋体"/>
          <w:color w:val="auto"/>
          <w:sz w:val="24"/>
          <w:highlight w:val="none"/>
        </w:rPr>
        <w:t>评标委员会由采购人代表和评标专家两部分共</w:t>
      </w:r>
      <w:r>
        <w:rPr>
          <w:rFonts w:ascii="宋体" w:hAnsi="宋体" w:cs="宋体"/>
          <w:color w:val="auto"/>
          <w:sz w:val="24"/>
          <w:highlight w:val="none"/>
          <w:u w:val="single"/>
        </w:rPr>
        <w:t>5</w:t>
      </w:r>
      <w:r>
        <w:rPr>
          <w:rFonts w:hint="eastAsia" w:ascii="宋体" w:hAnsi="宋体" w:cs="宋体"/>
          <w:color w:val="auto"/>
          <w:sz w:val="24"/>
          <w:highlight w:val="none"/>
        </w:rPr>
        <w:t>人（以下简称“评委”）组成，其中：</w:t>
      </w:r>
      <w:r>
        <w:rPr>
          <w:rFonts w:hint="eastAsia" w:ascii="宋体" w:hAnsi="宋体" w:cs="宋体"/>
          <w:b/>
          <w:bCs/>
          <w:color w:val="auto"/>
          <w:sz w:val="24"/>
          <w:highlight w:val="none"/>
        </w:rPr>
        <w:t>由采购人派出的采购人代表</w:t>
      </w:r>
      <w:r>
        <w:rPr>
          <w:rFonts w:ascii="宋体" w:hAnsi="宋体" w:cs="宋体"/>
          <w:b/>
          <w:bCs/>
          <w:color w:val="auto"/>
          <w:sz w:val="24"/>
          <w:highlight w:val="none"/>
          <w:u w:val="single"/>
        </w:rPr>
        <w:t>1</w:t>
      </w:r>
      <w:r>
        <w:rPr>
          <w:rFonts w:hint="eastAsia" w:ascii="宋体" w:hAnsi="宋体" w:cs="宋体"/>
          <w:b/>
          <w:bCs/>
          <w:color w:val="auto"/>
          <w:sz w:val="24"/>
          <w:highlight w:val="none"/>
        </w:rPr>
        <w:t>人，由专家库产生的评标专家</w:t>
      </w:r>
      <w:r>
        <w:rPr>
          <w:rFonts w:ascii="宋体" w:hAnsi="宋体" w:cs="宋体"/>
          <w:b/>
          <w:bCs/>
          <w:color w:val="auto"/>
          <w:sz w:val="24"/>
          <w:highlight w:val="none"/>
          <w:u w:val="single"/>
        </w:rPr>
        <w:t>4</w:t>
      </w:r>
      <w:r>
        <w:rPr>
          <w:rFonts w:hint="eastAsia" w:ascii="宋体" w:hAnsi="宋体" w:cs="宋体"/>
          <w:b/>
          <w:bCs/>
          <w:color w:val="auto"/>
          <w:sz w:val="24"/>
          <w:highlight w:val="none"/>
        </w:rPr>
        <w:t>人。</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5.2评标委员会负责具体评标事务，并按照下列原则依法独立履行有关职责：</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（1）评标应保护国家利益、社会公共利益和各方当事人合法权益，提高采购效益，保证项目质量。</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（2）评标应遵循公平、公正、科学、严谨和择优原则。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（3）评标的依据是招标文件和投标文件。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（4）应按照招标文件规定推荐中标候选人或确定中标人。</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（5）评标应遵守下列评标纪律：</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①评标情况不得私自外泄，有关信息由</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统一对外发布。</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②对</w:t>
      </w:r>
      <w:r>
        <w:rPr>
          <w:rFonts w:hint="eastAsia" w:ascii="宋体" w:hAnsi="宋体" w:eastAsia="宋体" w:cs="宋体"/>
          <w:color w:val="auto"/>
          <w:spacing w:val="0"/>
          <w:sz w:val="24"/>
          <w:szCs w:val="24"/>
          <w:highlight w:val="none"/>
          <w:u w:val="single"/>
        </w:rPr>
        <w:t>福建亿立项目管理有限公司</w:t>
      </w:r>
      <w:r>
        <w:rPr>
          <w:rFonts w:hint="eastAsia" w:ascii="宋体" w:hAnsi="宋体" w:eastAsia="宋体" w:cs="宋体"/>
          <w:color w:val="auto"/>
          <w:spacing w:val="0"/>
          <w:sz w:val="24"/>
          <w:szCs w:val="24"/>
          <w:highlight w:val="none"/>
        </w:rPr>
        <w:t>或投标人提供的要求保密的资料，不得摘记翻印和外传。</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③不得收受投标人或有关人员的任何礼物，不得串联鼓动其他人袒护某投标人。若与投标人存在利害关系，则应主动声明并回避。</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④全体评委应按照招标文件规定进行评标，一切认定事项应查有实据且不得弄虚作假。</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⑤评标中应充分发扬民主，推荐中标候选人或确定中标人后要服从评标报告。</w:t>
      </w:r>
    </w:p>
    <w:p>
      <w:pPr>
        <w:pStyle w:val="16"/>
        <w:keepNext w:val="0"/>
        <w:keepLines w:val="0"/>
        <w:widowControl/>
        <w:suppressLineNumbers w:val="0"/>
        <w:spacing w:before="75" w:beforeAutospacing="0" w:after="75" w:afterAutospacing="0"/>
        <w:ind w:left="0" w:right="0" w:firstLine="480"/>
        <w:rPr>
          <w:color w:val="auto"/>
          <w:highlight w:val="none"/>
        </w:rPr>
      </w:pPr>
      <w:r>
        <w:rPr>
          <w:rStyle w:val="22"/>
          <w:rFonts w:hint="eastAsia" w:ascii="宋体" w:hAnsi="宋体" w:eastAsia="宋体" w:cs="宋体"/>
          <w:color w:val="auto"/>
          <w:spacing w:val="0"/>
          <w:sz w:val="24"/>
          <w:szCs w:val="24"/>
          <w:highlight w:val="none"/>
        </w:rPr>
        <w:t>※对违反评标纪律的评委，将取消其评委资格，对评标工作造成严重损失者将予以通报批评乃至追究法律责任。</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6、评标程序</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6.1评标前的准备工作</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（1）全体评委应认真审阅招标文件，了解评委应履行或遵守的职责、义务和评标纪律。</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6.2符合性审查</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（1）评标委员会依据招标文件的实质性要求，对通过资格审查的投标文件进行符合性审查，以确定其是否满足招标文件的实质性要求。</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（2）满足招标文件的实质性要求指投标文件对招标文件实质性要求的响应不存在重大偏差或保留。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（5）评标委员会对所有投标人都执行相同的程序和标准。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（6）有下列情形之一的，</w:t>
      </w:r>
      <w:r>
        <w:rPr>
          <w:rStyle w:val="22"/>
          <w:rFonts w:hint="eastAsia" w:ascii="宋体" w:hAnsi="宋体" w:eastAsia="宋体" w:cs="宋体"/>
          <w:color w:val="auto"/>
          <w:spacing w:val="0"/>
          <w:sz w:val="24"/>
          <w:szCs w:val="24"/>
          <w:highlight w:val="none"/>
        </w:rPr>
        <w:t>符合性审查不合格：</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①项目一般情形：</w:t>
      </w:r>
    </w:p>
    <w:tbl>
      <w:tblPr>
        <w:tblStyle w:val="19"/>
        <w:tblW w:w="923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投标文件对招标文件实质性要求的响应存在重大偏离或保留。</w:t>
            </w:r>
          </w:p>
        </w:tc>
      </w:tr>
    </w:tbl>
    <w:p>
      <w:pPr>
        <w:pStyle w:val="16"/>
        <w:keepNext w:val="0"/>
        <w:keepLines w:val="0"/>
        <w:widowControl/>
        <w:suppressLineNumbers w:val="0"/>
        <w:spacing w:before="75" w:beforeAutospacing="0" w:after="75" w:afterAutospacing="0"/>
        <w:ind w:left="0" w:right="0" w:firstLine="48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②本项目规定的其他情形：</w:t>
      </w:r>
    </w:p>
    <w:p>
      <w:pPr>
        <w:pStyle w:val="16"/>
        <w:keepNext w:val="0"/>
        <w:keepLines w:val="0"/>
        <w:widowControl/>
        <w:suppressLineNumbers w:val="0"/>
        <w:spacing w:before="75" w:beforeAutospacing="0" w:after="75" w:afterAutospacing="0"/>
        <w:ind w:left="0" w:right="0" w:firstLine="48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 xml:space="preserve">包：1 </w:t>
      </w:r>
    </w:p>
    <w:p>
      <w:pPr>
        <w:pStyle w:val="16"/>
        <w:keepNext w:val="0"/>
        <w:keepLines w:val="0"/>
        <w:widowControl/>
        <w:suppressLineNumbers w:val="0"/>
        <w:spacing w:before="75" w:beforeAutospacing="0" w:after="75" w:afterAutospacing="0"/>
        <w:ind w:left="0" w:right="0" w:firstLine="48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 xml:space="preserve">包一般情形 </w:t>
      </w:r>
    </w:p>
    <w:p>
      <w:pPr>
        <w:pStyle w:val="16"/>
        <w:keepNext w:val="0"/>
        <w:keepLines w:val="0"/>
        <w:widowControl/>
        <w:suppressLineNumbers w:val="0"/>
        <w:spacing w:before="75" w:beforeAutospacing="0" w:after="75" w:afterAutospacing="0"/>
        <w:ind w:left="0" w:right="0" w:firstLine="480"/>
        <w:rPr>
          <w:color w:val="auto"/>
          <w:highlight w:val="none"/>
        </w:rPr>
      </w:pPr>
      <w:r>
        <w:rPr>
          <w:rStyle w:val="22"/>
          <w:color w:val="auto"/>
          <w:sz w:val="24"/>
          <w:szCs w:val="24"/>
          <w:highlight w:val="none"/>
        </w:rPr>
        <w:t>         无</w:t>
      </w:r>
    </w:p>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xml:space="preserve">技术符合性 </w:t>
      </w:r>
    </w:p>
    <w:tbl>
      <w:tblPr>
        <w:tblStyle w:val="19"/>
        <w:tblW w:w="923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（1）投标人投标文件技术部分中出现报价部分的全部或部分的投标报价信息（或组成资料）的，按无效投标处理。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（2）投标人技术部分的实际得分少于招标文件设定的技术部分总分的50%的，按无效投标处理。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（3）投标人投标文件技术部分中提供虚假或失实证明材料的。</w:t>
            </w:r>
          </w:p>
        </w:tc>
      </w:tr>
    </w:tbl>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p>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 xml:space="preserve">商务符合性 </w:t>
      </w:r>
    </w:p>
    <w:tbl>
      <w:tblPr>
        <w:tblStyle w:val="19"/>
        <w:tblW w:w="923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bCs/>
                <w:color w:val="auto"/>
                <w:highlight w:val="none"/>
              </w:rPr>
            </w:pPr>
            <w:r>
              <w:rPr>
                <w:rFonts w:ascii="宋体" w:hAnsi="宋体" w:eastAsia="宋体" w:cs="宋体"/>
                <w:b/>
                <w:bCs/>
                <w:color w:val="auto"/>
                <w:kern w:val="0"/>
                <w:sz w:val="24"/>
                <w:szCs w:val="24"/>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（1）投标人投标文件商务部分中出现报价部分的全部或部分的投标报价信息（或组成资料）的，按无效投标处理。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（2）投标人的商务条件响应出现负偏离的，按无效投标处理。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23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（3）投标人投标文件商务部分中提供虚假或失实证明材料的。</w:t>
            </w:r>
          </w:p>
        </w:tc>
      </w:tr>
    </w:tbl>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p>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附加符合性</w:t>
      </w:r>
    </w:p>
    <w:p>
      <w:pPr>
        <w:keepNext w:val="0"/>
        <w:keepLines w:val="0"/>
        <w:widowControl/>
        <w:suppressLineNumbers w:val="0"/>
        <w:jc w:val="left"/>
        <w:rPr>
          <w:color w:val="auto"/>
          <w:highlight w:val="none"/>
          <w:lang w:val="en-US" w:eastAsia="zh-CN"/>
        </w:rPr>
      </w:pPr>
      <w:r>
        <w:rPr>
          <w:rStyle w:val="22"/>
          <w:rFonts w:ascii="宋体" w:hAnsi="宋体" w:eastAsia="宋体" w:cs="宋体"/>
          <w:color w:val="auto"/>
          <w:kern w:val="0"/>
          <w:sz w:val="24"/>
          <w:szCs w:val="24"/>
          <w:highlight w:val="none"/>
          <w:lang w:val="en-US" w:eastAsia="zh-CN" w:bidi="ar"/>
        </w:rPr>
        <w:t>         无</w:t>
      </w:r>
    </w:p>
    <w:p>
      <w:pPr>
        <w:keepNext w:val="0"/>
        <w:keepLines w:val="0"/>
        <w:widowControl/>
        <w:suppressLineNumbers w:val="0"/>
        <w:jc w:val="left"/>
        <w:rPr>
          <w:rFonts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t xml:space="preserve">价格符合性 </w:t>
      </w:r>
    </w:p>
    <w:tbl>
      <w:tblPr>
        <w:tblStyle w:val="19"/>
        <w:tblW w:w="9317"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317" w:type="dxa"/>
            <w:vAlign w:val="center"/>
          </w:tcPr>
          <w:p>
            <w:pPr>
              <w:widowControl/>
              <w:jc w:val="center"/>
              <w:rPr>
                <w:b/>
                <w:color w:val="auto"/>
                <w:highlight w:val="none"/>
              </w:rPr>
            </w:pPr>
            <w:r>
              <w:rPr>
                <w:rFonts w:ascii="宋体" w:hAnsi="宋体" w:cs="宋体"/>
                <w:b/>
                <w:color w:val="auto"/>
                <w:kern w:val="0"/>
                <w:sz w:val="24"/>
                <w:highlight w:val="none"/>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tblCellSpacing w:w="0" w:type="dxa"/>
        </w:trPr>
        <w:tc>
          <w:tcPr>
            <w:tcW w:w="9317" w:type="dxa"/>
            <w:vAlign w:val="center"/>
          </w:tcPr>
          <w:p>
            <w:pPr>
              <w:widowControl/>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供应商提交的是可选择的报价；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317" w:type="dxa"/>
            <w:vAlign w:val="center"/>
          </w:tcPr>
          <w:p>
            <w:pPr>
              <w:widowControl/>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供应商提交的报价超过</w:t>
            </w:r>
            <w:r>
              <w:rPr>
                <w:rFonts w:hint="eastAsia" w:ascii="宋体" w:hAnsi="宋体"/>
                <w:color w:val="auto"/>
                <w:sz w:val="24"/>
                <w:highlight w:val="none"/>
                <w:lang w:eastAsia="zh-CN"/>
              </w:rPr>
              <w:t>采购最高限价</w:t>
            </w:r>
            <w:r>
              <w:rPr>
                <w:rFonts w:hint="eastAsia" w:ascii="宋体" w:hAnsi="宋体" w:eastAsia="宋体" w:cs="宋体"/>
                <w:color w:val="auto"/>
                <w:kern w:val="0"/>
                <w:sz w:val="24"/>
                <w:szCs w:val="24"/>
                <w:highlight w:val="none"/>
                <w:lang w:val="en-US" w:eastAsia="zh-CN"/>
              </w:rPr>
              <w:t>。</w:t>
            </w:r>
          </w:p>
        </w:tc>
      </w:tr>
    </w:tbl>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6.3澄清有关问题</w:t>
      </w:r>
    </w:p>
    <w:p>
      <w:pPr>
        <w:pStyle w:val="16"/>
        <w:keepNext w:val="0"/>
        <w:keepLines w:val="0"/>
        <w:widowControl/>
        <w:suppressLineNumbers w:val="0"/>
        <w:spacing w:before="75" w:beforeAutospacing="0" w:after="75" w:afterAutospacing="0"/>
        <w:ind w:left="0" w:right="0" w:firstLine="420"/>
        <w:rPr>
          <w:color w:val="auto"/>
          <w:highlight w:val="none"/>
        </w:rPr>
      </w:pPr>
      <w:r>
        <w:rPr>
          <w:rFonts w:hint="eastAsia" w:ascii="宋体" w:hAnsi="宋体" w:eastAsia="宋体" w:cs="宋体"/>
          <w:color w:val="auto"/>
          <w:spacing w:val="0"/>
          <w:sz w:val="24"/>
          <w:szCs w:val="24"/>
          <w:highlight w:val="none"/>
        </w:rPr>
        <w:t>（1）对通过符合性审查的电投标文件中含义不明确、同类问题表述不一致或有明显文字和计算错误的内容，评标委员会将以书面形式要求投标人作出必要的澄清、说明或补正。</w:t>
      </w:r>
    </w:p>
    <w:p>
      <w:pPr>
        <w:pStyle w:val="16"/>
        <w:keepNext w:val="0"/>
        <w:keepLines w:val="0"/>
        <w:widowControl/>
        <w:suppressLineNumbers w:val="0"/>
        <w:spacing w:before="75" w:beforeAutospacing="0" w:after="75" w:afterAutospacing="0"/>
        <w:ind w:left="0" w:right="0" w:firstLine="420"/>
        <w:rPr>
          <w:color w:val="auto"/>
          <w:highlight w:val="none"/>
        </w:rPr>
      </w:pPr>
      <w:r>
        <w:rPr>
          <w:rFonts w:hint="eastAsia" w:ascii="宋体" w:hAnsi="宋体" w:eastAsia="宋体" w:cs="宋体"/>
          <w:color w:val="auto"/>
          <w:spacing w:val="0"/>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（3）投标文件报价出现前后不一致的，除招标文件另有规定外，按照下列规定修正：</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①开标一览表内容与投标文件中相应内容不一致的，以开标一览表为准；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②大写金额和小写金额不一致的，以大写金额为准；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③单价金额小数点或百分比有明显错位的，以开标一览表的总价为准，并修改单价；</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④总价金额与按照单价汇总金额不一致的，以单价金额计算结果为准。</w:t>
      </w:r>
    </w:p>
    <w:p>
      <w:pPr>
        <w:pStyle w:val="16"/>
        <w:keepNext w:val="0"/>
        <w:keepLines w:val="0"/>
        <w:widowControl/>
        <w:suppressLineNumbers w:val="0"/>
        <w:spacing w:before="75" w:beforeAutospacing="0" w:after="75" w:afterAutospacing="0"/>
        <w:ind w:left="0" w:right="0" w:firstLine="480"/>
        <w:rPr>
          <w:color w:val="auto"/>
          <w:highlight w:val="none"/>
        </w:rPr>
      </w:pPr>
      <w:r>
        <w:rPr>
          <w:rStyle w:val="22"/>
          <w:rFonts w:hint="eastAsia" w:ascii="宋体" w:hAnsi="宋体" w:eastAsia="宋体" w:cs="宋体"/>
          <w:color w:val="auto"/>
          <w:spacing w:val="0"/>
          <w:sz w:val="24"/>
          <w:szCs w:val="24"/>
          <w:highlight w:val="none"/>
        </w:rPr>
        <w:t>※同时出现两种以上不一致的，按照前款规定的顺序修正。修正后的报价应按照本章第</w:t>
      </w:r>
      <w:r>
        <w:rPr>
          <w:rStyle w:val="22"/>
          <w:rFonts w:hint="default" w:ascii="Calibri" w:hAnsi="Calibri" w:cs="Calibri"/>
          <w:color w:val="auto"/>
          <w:spacing w:val="0"/>
          <w:sz w:val="24"/>
          <w:szCs w:val="24"/>
          <w:highlight w:val="none"/>
        </w:rPr>
        <w:t>6.3</w:t>
      </w:r>
      <w:r>
        <w:rPr>
          <w:rStyle w:val="22"/>
          <w:rFonts w:hint="eastAsia" w:ascii="宋体" w:hAnsi="宋体" w:eastAsia="宋体" w:cs="宋体"/>
          <w:color w:val="auto"/>
          <w:spacing w:val="0"/>
          <w:sz w:val="24"/>
          <w:szCs w:val="24"/>
          <w:highlight w:val="none"/>
        </w:rPr>
        <w:t>条第（</w:t>
      </w:r>
      <w:r>
        <w:rPr>
          <w:rStyle w:val="22"/>
          <w:rFonts w:hint="default" w:ascii="Calibri" w:hAnsi="Calibri" w:cs="Calibri"/>
          <w:color w:val="auto"/>
          <w:spacing w:val="0"/>
          <w:sz w:val="24"/>
          <w:szCs w:val="24"/>
          <w:highlight w:val="none"/>
        </w:rPr>
        <w:t>1</w:t>
      </w:r>
      <w:r>
        <w:rPr>
          <w:rStyle w:val="22"/>
          <w:rFonts w:hint="eastAsia" w:ascii="宋体" w:hAnsi="宋体" w:eastAsia="宋体" w:cs="宋体"/>
          <w:color w:val="auto"/>
          <w:spacing w:val="0"/>
          <w:sz w:val="24"/>
          <w:szCs w:val="24"/>
          <w:highlight w:val="none"/>
        </w:rPr>
        <w:t>）、（</w:t>
      </w:r>
      <w:r>
        <w:rPr>
          <w:rStyle w:val="22"/>
          <w:rFonts w:hint="default" w:ascii="Calibri" w:hAnsi="Calibri" w:cs="Calibri"/>
          <w:color w:val="auto"/>
          <w:spacing w:val="0"/>
          <w:sz w:val="24"/>
          <w:szCs w:val="24"/>
          <w:highlight w:val="none"/>
        </w:rPr>
        <w:t>2</w:t>
      </w:r>
      <w:r>
        <w:rPr>
          <w:rStyle w:val="22"/>
          <w:rFonts w:hint="eastAsia" w:ascii="宋体" w:hAnsi="宋体" w:eastAsia="宋体" w:cs="宋体"/>
          <w:color w:val="auto"/>
          <w:spacing w:val="0"/>
          <w:sz w:val="24"/>
          <w:szCs w:val="24"/>
          <w:highlight w:val="none"/>
        </w:rPr>
        <w:t>）款规定经投标人确认后产生约束力，投标人不确认的，其投标无效。</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（4）关于细微偏差</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（5）关于投标描述（即投标文件中描述的内容）</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①投标描述前后不一致且不涉及证明材料的：按照本章第</w:t>
      </w:r>
      <w:r>
        <w:rPr>
          <w:rFonts w:hint="default" w:ascii="Calibri" w:hAnsi="Calibri" w:cs="Calibri"/>
          <w:color w:val="auto"/>
          <w:spacing w:val="0"/>
          <w:sz w:val="24"/>
          <w:szCs w:val="24"/>
          <w:highlight w:val="none"/>
        </w:rPr>
        <w:t>6.3</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1</w:t>
      </w:r>
      <w:r>
        <w:rPr>
          <w:rFonts w:hint="eastAsia" w:ascii="宋体" w:hAnsi="宋体" w:eastAsia="宋体" w:cs="宋体"/>
          <w:color w:val="auto"/>
          <w:spacing w:val="0"/>
          <w:sz w:val="24"/>
          <w:szCs w:val="24"/>
          <w:highlight w:val="none"/>
        </w:rPr>
        <w:t>）、（</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）款规定执行。</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②投标描述与证明材料不一致或多份证明材料之间不一致的：</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a.评标委员会将要求投标人进行书面澄清，并按照不利于投标人的内容进行评标。</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6.4比较与评价</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（1）按照本章第</w:t>
      </w:r>
      <w:r>
        <w:rPr>
          <w:rFonts w:hint="default" w:ascii="Calibri" w:hAnsi="Calibri" w:cs="Calibri"/>
          <w:color w:val="auto"/>
          <w:spacing w:val="0"/>
          <w:sz w:val="24"/>
          <w:szCs w:val="24"/>
          <w:highlight w:val="none"/>
        </w:rPr>
        <w:t>7</w:t>
      </w:r>
      <w:r>
        <w:rPr>
          <w:rFonts w:hint="eastAsia" w:ascii="宋体" w:hAnsi="宋体" w:eastAsia="宋体" w:cs="宋体"/>
          <w:color w:val="auto"/>
          <w:spacing w:val="0"/>
          <w:sz w:val="24"/>
          <w:szCs w:val="24"/>
          <w:highlight w:val="none"/>
        </w:rPr>
        <w:t>条载明的评标方法和标准，对符合性审查合格的投标文件进行比较与评价。</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（2）关于相同品牌产品</w:t>
      </w:r>
      <w:r>
        <w:rPr>
          <w:rStyle w:val="22"/>
          <w:rFonts w:hint="eastAsia" w:ascii="宋体" w:hAnsi="宋体" w:eastAsia="宋体" w:cs="宋体"/>
          <w:color w:val="auto"/>
          <w:spacing w:val="0"/>
          <w:sz w:val="24"/>
          <w:szCs w:val="24"/>
          <w:highlight w:val="none"/>
        </w:rPr>
        <w:t>（政府采购服务类项目不适用本条款规定）</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a.招标文件规定的方式：</w:t>
      </w:r>
      <w:r>
        <w:rPr>
          <w:color w:val="auto"/>
          <w:spacing w:val="0"/>
          <w:sz w:val="24"/>
          <w:szCs w:val="24"/>
          <w:highlight w:val="none"/>
          <w:u w:val="single"/>
        </w:rPr>
        <w:t>无</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b.招标文件未规定的，采取随机抽取方式确定，其他</w:t>
      </w:r>
      <w:r>
        <w:rPr>
          <w:rStyle w:val="22"/>
          <w:rFonts w:hint="eastAsia" w:ascii="宋体" w:hAnsi="宋体" w:eastAsia="宋体" w:cs="宋体"/>
          <w:color w:val="auto"/>
          <w:spacing w:val="0"/>
          <w:sz w:val="24"/>
          <w:szCs w:val="24"/>
          <w:highlight w:val="none"/>
        </w:rPr>
        <w:t>投标无效。</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a.招标文件规定的方式：</w:t>
      </w:r>
      <w:r>
        <w:rPr>
          <w:color w:val="auto"/>
          <w:spacing w:val="0"/>
          <w:sz w:val="24"/>
          <w:szCs w:val="24"/>
          <w:highlight w:val="none"/>
          <w:u w:val="single"/>
        </w:rPr>
        <w:t>无</w:t>
      </w:r>
      <w:r>
        <w:rPr>
          <w:rFonts w:hint="eastAsia" w:ascii="宋体" w:hAnsi="宋体" w:eastAsia="宋体" w:cs="宋体"/>
          <w:color w:val="auto"/>
          <w:spacing w:val="0"/>
          <w:sz w:val="24"/>
          <w:szCs w:val="24"/>
          <w:highlight w:val="none"/>
        </w:rPr>
        <w:t>。</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b.招标文件未规定的，采取随机抽取方式确定，其他同品牌投标人不作为中标候选人。</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③非单一产品采购项目，多家投标人提供的核心产品品牌相同的，按照本章第</w:t>
      </w:r>
      <w:r>
        <w:rPr>
          <w:rFonts w:hint="default" w:ascii="Calibri" w:hAnsi="Calibri" w:cs="Calibri"/>
          <w:color w:val="auto"/>
          <w:spacing w:val="0"/>
          <w:sz w:val="24"/>
          <w:szCs w:val="24"/>
          <w:highlight w:val="none"/>
        </w:rPr>
        <w:t>6.4</w:t>
      </w:r>
      <w:r>
        <w:rPr>
          <w:rFonts w:hint="eastAsia" w:ascii="宋体" w:hAnsi="宋体" w:eastAsia="宋体" w:cs="宋体"/>
          <w:color w:val="auto"/>
          <w:spacing w:val="0"/>
          <w:sz w:val="24"/>
          <w:szCs w:val="24"/>
          <w:highlight w:val="none"/>
        </w:rPr>
        <w:t>条第（</w:t>
      </w:r>
      <w:r>
        <w:rPr>
          <w:rFonts w:hint="default" w:ascii="Calibri" w:hAnsi="Calibri" w:cs="Calibri"/>
          <w:color w:val="auto"/>
          <w:spacing w:val="0"/>
          <w:sz w:val="24"/>
          <w:szCs w:val="24"/>
          <w:highlight w:val="none"/>
        </w:rPr>
        <w:t>2</w:t>
      </w:r>
      <w:r>
        <w:rPr>
          <w:rFonts w:hint="eastAsia" w:ascii="宋体" w:hAnsi="宋体" w:eastAsia="宋体" w:cs="宋体"/>
          <w:color w:val="auto"/>
          <w:spacing w:val="0"/>
          <w:sz w:val="24"/>
          <w:szCs w:val="24"/>
          <w:highlight w:val="none"/>
        </w:rPr>
        <w:t>）款第①、②规定处理。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（3）漏（缺）项</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①招标文件中要求列入报价的费用（含配置、功能），漏（缺）项的报价视为已经包括在投标总价中。</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②对多报项及赠送项的价格评标时不予核减，全部进入评标价评议。</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6.5推荐中标候选人：详见本章第</w:t>
      </w:r>
      <w:r>
        <w:rPr>
          <w:rFonts w:hint="default" w:ascii="Calibri" w:hAnsi="Calibri" w:cs="Calibri"/>
          <w:color w:val="auto"/>
          <w:spacing w:val="0"/>
          <w:sz w:val="24"/>
          <w:szCs w:val="24"/>
          <w:highlight w:val="none"/>
        </w:rPr>
        <w:t>7.2</w:t>
      </w:r>
      <w:r>
        <w:rPr>
          <w:rFonts w:hint="eastAsia" w:ascii="宋体" w:hAnsi="宋体" w:eastAsia="宋体" w:cs="宋体"/>
          <w:color w:val="auto"/>
          <w:spacing w:val="0"/>
          <w:sz w:val="24"/>
          <w:szCs w:val="24"/>
          <w:highlight w:val="none"/>
        </w:rPr>
        <w:t>条规定。</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6.6编写评标报告</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（1）评标报告由评标委员会负责编写。</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（2）评标报告应包括下列内容：</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①招标公告刊登的媒体名称、开标日期和地点；</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②投标人名单和评标委员会成员名单；</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③评标方法和标准；</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④开标记录和评标情况及说明，包括无效投标人名单及原因；</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⑤评标结果，包括中标候选人名单或确定的中标人；</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⑥其他需要说明的情况，包括但不限于：评标过程中投标人的澄清、说明或补正，评委更换等。</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22"/>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处理。</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6.8评委对需要共同认定的事项存在争议的，应按照少数服从多数的原则进行认定。</w:t>
      </w:r>
      <w:r>
        <w:rPr>
          <w:rStyle w:val="22"/>
          <w:rFonts w:hint="eastAsia" w:ascii="宋体" w:hAnsi="宋体" w:eastAsia="宋体" w:cs="宋体"/>
          <w:color w:val="auto"/>
          <w:spacing w:val="0"/>
          <w:sz w:val="24"/>
          <w:szCs w:val="24"/>
          <w:highlight w:val="none"/>
        </w:rPr>
        <w:t>持不同意见的评委应在评标报告上签署不同意见及理由，否则视为同意评标报告。</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6.9在评标过程中发现投标人有下列情形之一的，评标委员会应认定其</w:t>
      </w:r>
      <w:r>
        <w:rPr>
          <w:rStyle w:val="22"/>
          <w:rFonts w:hint="eastAsia" w:ascii="宋体" w:hAnsi="宋体" w:eastAsia="宋体" w:cs="宋体"/>
          <w:color w:val="auto"/>
          <w:spacing w:val="0"/>
          <w:sz w:val="24"/>
          <w:szCs w:val="24"/>
          <w:highlight w:val="none"/>
        </w:rPr>
        <w:t>投标无效</w:t>
      </w:r>
      <w:r>
        <w:rPr>
          <w:rFonts w:hint="eastAsia" w:ascii="宋体" w:hAnsi="宋体" w:eastAsia="宋体" w:cs="宋体"/>
          <w:color w:val="auto"/>
          <w:spacing w:val="0"/>
          <w:sz w:val="24"/>
          <w:szCs w:val="24"/>
          <w:highlight w:val="none"/>
        </w:rPr>
        <w:t>，并书面报告本项目监督管理部门：</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（1）恶意串通（包括但不限于招标文件第三章第</w:t>
      </w:r>
      <w:r>
        <w:rPr>
          <w:rFonts w:hint="default" w:ascii="Calibri" w:hAnsi="Calibri" w:cs="Calibri"/>
          <w:color w:val="auto"/>
          <w:spacing w:val="0"/>
          <w:sz w:val="24"/>
          <w:szCs w:val="24"/>
          <w:highlight w:val="none"/>
        </w:rPr>
        <w:t>9.7</w:t>
      </w:r>
      <w:r>
        <w:rPr>
          <w:rFonts w:hint="eastAsia" w:ascii="宋体" w:hAnsi="宋体" w:eastAsia="宋体" w:cs="宋体"/>
          <w:color w:val="auto"/>
          <w:spacing w:val="0"/>
          <w:sz w:val="24"/>
          <w:szCs w:val="24"/>
          <w:highlight w:val="none"/>
        </w:rPr>
        <w:t>条规定情形）；</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（2）妨碍其他投标人的竞争行为；</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（3）损害采购人或其他投标人的合法权益。</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6.10评标过程中，有下列情形之一的，应予废标：</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（1）符合性审查合格的投标人不足三家的；</w:t>
      </w:r>
    </w:p>
    <w:p>
      <w:pPr>
        <w:pStyle w:val="16"/>
        <w:keepNext w:val="0"/>
        <w:keepLines w:val="0"/>
        <w:widowControl/>
        <w:suppressLineNumbers w:val="0"/>
        <w:spacing w:before="75" w:beforeAutospacing="0" w:after="75" w:afterAutospacing="0"/>
        <w:ind w:left="0" w:right="0" w:firstLine="480"/>
        <w:rPr>
          <w:color w:val="auto"/>
          <w:highlight w:val="none"/>
        </w:rPr>
      </w:pPr>
      <w:r>
        <w:rPr>
          <w:rFonts w:hint="eastAsia" w:ascii="宋体" w:hAnsi="宋体" w:eastAsia="宋体" w:cs="宋体"/>
          <w:color w:val="auto"/>
          <w:spacing w:val="0"/>
          <w:sz w:val="24"/>
          <w:szCs w:val="24"/>
          <w:highlight w:val="none"/>
        </w:rPr>
        <w:t>（2）有关法律、法规和规章规定废标的情形。</w:t>
      </w:r>
    </w:p>
    <w:p>
      <w:pPr>
        <w:pStyle w:val="16"/>
        <w:keepNext w:val="0"/>
        <w:keepLines w:val="0"/>
        <w:widowControl/>
        <w:suppressLineNumbers w:val="0"/>
        <w:spacing w:before="75" w:beforeAutospacing="0" w:after="75" w:afterAutospacing="0"/>
        <w:ind w:left="0" w:right="0" w:firstLine="480"/>
        <w:rPr>
          <w:color w:val="auto"/>
          <w:highlight w:val="none"/>
        </w:rPr>
      </w:pPr>
      <w:r>
        <w:rPr>
          <w:rStyle w:val="22"/>
          <w:rFonts w:hint="eastAsia" w:ascii="宋体" w:hAnsi="宋体" w:eastAsia="宋体" w:cs="宋体"/>
          <w:color w:val="auto"/>
          <w:spacing w:val="0"/>
          <w:sz w:val="24"/>
          <w:szCs w:val="24"/>
          <w:highlight w:val="none"/>
        </w:rPr>
        <w:t>※若废标，则本次采购活动结束，</w:t>
      </w:r>
      <w:r>
        <w:rPr>
          <w:rFonts w:hint="eastAsia" w:ascii="宋体" w:hAnsi="宋体" w:eastAsia="宋体" w:cs="宋体"/>
          <w:color w:val="auto"/>
          <w:spacing w:val="0"/>
          <w:sz w:val="24"/>
          <w:szCs w:val="24"/>
          <w:highlight w:val="none"/>
          <w:u w:val="single"/>
        </w:rPr>
        <w:t>福建亿立项目管理有限公司</w:t>
      </w:r>
      <w:r>
        <w:rPr>
          <w:rStyle w:val="22"/>
          <w:rFonts w:hint="eastAsia" w:ascii="宋体" w:hAnsi="宋体" w:eastAsia="宋体" w:cs="宋体"/>
          <w:color w:val="auto"/>
          <w:spacing w:val="0"/>
          <w:sz w:val="24"/>
          <w:szCs w:val="24"/>
          <w:highlight w:val="none"/>
        </w:rPr>
        <w:t>将依法组织后续采购活动（包括但不限于：重新招标、采用其他方式采购等）。</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7、评标方法和标准</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7.1评标方法：</w:t>
      </w:r>
      <w:r>
        <w:rPr>
          <w:color w:val="auto"/>
          <w:spacing w:val="0"/>
          <w:sz w:val="24"/>
          <w:szCs w:val="24"/>
          <w:highlight w:val="none"/>
        </w:rPr>
        <w:t xml:space="preserve"> 项目包1采用综合评分法。</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7.2评标标准</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9"/>
          <w:szCs w:val="19"/>
          <w:highlight w:val="none"/>
        </w:rPr>
      </w:pPr>
      <w:r>
        <w:rPr>
          <w:rStyle w:val="22"/>
          <w:rFonts w:hint="eastAsia" w:ascii="宋体" w:hAnsi="宋体" w:eastAsia="宋体" w:cs="宋体"/>
          <w:color w:val="auto"/>
          <w:sz w:val="24"/>
          <w:szCs w:val="24"/>
          <w:highlight w:val="none"/>
          <w:shd w:val="clear" w:fill="FFFFFF"/>
        </w:rPr>
        <w:t>采购包1</w:t>
      </w:r>
      <w:r>
        <w:rPr>
          <w:rStyle w:val="22"/>
          <w:rFonts w:hint="eastAsia" w:ascii="宋体" w:hAnsi="宋体" w:cs="宋体"/>
          <w:color w:val="auto"/>
          <w:szCs w:val="24"/>
          <w:highlight w:val="none"/>
          <w:shd w:val="clear" w:color="auto" w:fill="FFFFFF"/>
        </w:rPr>
        <w:t>采用综合评分法</w:t>
      </w:r>
      <w:r>
        <w:rPr>
          <w:rFonts w:hint="eastAsia" w:cs="宋体"/>
          <w:color w:val="auto"/>
          <w:szCs w:val="24"/>
          <w:highlight w:val="none"/>
          <w:shd w:val="clear" w:color="auto" w:fill="FFFFFF"/>
        </w:rPr>
        <w:t>：</w:t>
      </w:r>
      <w:r>
        <w:rPr>
          <w:rFonts w:hint="eastAsia" w:ascii="微软雅黑" w:hAnsi="微软雅黑" w:eastAsia="微软雅黑" w:cs="微软雅黑"/>
          <w:color w:val="auto"/>
          <w:sz w:val="19"/>
          <w:szCs w:val="19"/>
          <w:highlight w:val="none"/>
          <w:shd w:val="clear" w:color="auto" w:fill="FFFFFF"/>
        </w:rPr>
        <w:t xml:space="preserve"> </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2"/>
        <w:textAlignment w:val="auto"/>
        <w:rPr>
          <w:color w:val="auto"/>
          <w:highlight w:val="none"/>
        </w:rPr>
      </w:pPr>
      <w:r>
        <w:rPr>
          <w:rFonts w:hint="eastAsia" w:cs="宋体"/>
          <w:color w:val="auto"/>
          <w:szCs w:val="24"/>
          <w:highlight w:val="none"/>
        </w:rPr>
        <w:t>（1）投标文件满足招标文件全部实质性要求，且按照评审因素的量化指标评审得分（即评标总得分）最高的投标人为中标候选人。</w:t>
      </w:r>
      <w:r>
        <w:rPr>
          <w:color w:val="auto"/>
          <w:highlight w:val="none"/>
        </w:rPr>
        <w:t xml:space="preserve"> </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2"/>
        <w:textAlignment w:val="auto"/>
        <w:rPr>
          <w:color w:val="auto"/>
          <w:highlight w:val="none"/>
        </w:rPr>
      </w:pPr>
      <w:r>
        <w:rPr>
          <w:rFonts w:hint="eastAsia" w:cs="宋体"/>
          <w:color w:val="auto"/>
          <w:szCs w:val="24"/>
          <w:highlight w:val="none"/>
        </w:rPr>
        <w:t>（2）每个投标人的评标总得分</w:t>
      </w:r>
      <w:r>
        <w:rPr>
          <w:rFonts w:ascii="Calibri" w:hAnsi="Calibri" w:cs="Calibri"/>
          <w:color w:val="auto"/>
          <w:szCs w:val="24"/>
          <w:highlight w:val="none"/>
        </w:rPr>
        <w:t>FA</w:t>
      </w:r>
      <w:r>
        <w:rPr>
          <w:rFonts w:hint="eastAsia" w:cs="宋体"/>
          <w:color w:val="auto"/>
          <w:szCs w:val="24"/>
          <w:highlight w:val="none"/>
        </w:rPr>
        <w:t>＝</w:t>
      </w:r>
      <w:r>
        <w:rPr>
          <w:rFonts w:ascii="Calibri" w:hAnsi="Calibri" w:cs="Calibri"/>
          <w:color w:val="auto"/>
          <w:szCs w:val="24"/>
          <w:highlight w:val="none"/>
        </w:rPr>
        <w:t>F1</w:t>
      </w:r>
      <w:r>
        <w:rPr>
          <w:rFonts w:hint="eastAsia" w:cs="宋体"/>
          <w:color w:val="auto"/>
          <w:szCs w:val="24"/>
          <w:highlight w:val="none"/>
        </w:rPr>
        <w:t>×</w:t>
      </w:r>
      <w:r>
        <w:rPr>
          <w:rFonts w:ascii="Calibri" w:hAnsi="Calibri" w:cs="Calibri"/>
          <w:color w:val="auto"/>
          <w:szCs w:val="24"/>
          <w:highlight w:val="none"/>
        </w:rPr>
        <w:t>A1</w:t>
      </w:r>
      <w:r>
        <w:rPr>
          <w:rFonts w:hint="eastAsia" w:cs="宋体"/>
          <w:color w:val="auto"/>
          <w:szCs w:val="24"/>
          <w:highlight w:val="none"/>
        </w:rPr>
        <w:t>＋</w:t>
      </w:r>
      <w:r>
        <w:rPr>
          <w:rFonts w:ascii="Calibri" w:hAnsi="Calibri" w:cs="Calibri"/>
          <w:color w:val="auto"/>
          <w:szCs w:val="24"/>
          <w:highlight w:val="none"/>
        </w:rPr>
        <w:t>F2</w:t>
      </w:r>
      <w:r>
        <w:rPr>
          <w:rFonts w:hint="eastAsia" w:cs="宋体"/>
          <w:color w:val="auto"/>
          <w:szCs w:val="24"/>
          <w:highlight w:val="none"/>
        </w:rPr>
        <w:t>×</w:t>
      </w:r>
      <w:r>
        <w:rPr>
          <w:rFonts w:ascii="Calibri" w:hAnsi="Calibri" w:cs="Calibri"/>
          <w:color w:val="auto"/>
          <w:szCs w:val="24"/>
          <w:highlight w:val="none"/>
        </w:rPr>
        <w:t>A2</w:t>
      </w:r>
      <w:r>
        <w:rPr>
          <w:rFonts w:hint="eastAsia" w:cs="宋体"/>
          <w:color w:val="auto"/>
          <w:szCs w:val="24"/>
          <w:highlight w:val="none"/>
        </w:rPr>
        <w:t>＋</w:t>
      </w:r>
      <w:r>
        <w:rPr>
          <w:rFonts w:ascii="Calibri" w:hAnsi="Calibri" w:cs="Calibri"/>
          <w:color w:val="auto"/>
          <w:szCs w:val="24"/>
          <w:highlight w:val="none"/>
        </w:rPr>
        <w:t>F3</w:t>
      </w:r>
      <w:r>
        <w:rPr>
          <w:rFonts w:hint="eastAsia" w:cs="宋体"/>
          <w:color w:val="auto"/>
          <w:szCs w:val="24"/>
          <w:highlight w:val="none"/>
        </w:rPr>
        <w:t>×</w:t>
      </w:r>
      <w:r>
        <w:rPr>
          <w:rFonts w:ascii="Calibri" w:hAnsi="Calibri" w:cs="Calibri"/>
          <w:color w:val="auto"/>
          <w:szCs w:val="24"/>
          <w:highlight w:val="none"/>
        </w:rPr>
        <w:t>A3</w:t>
      </w:r>
      <w:r>
        <w:rPr>
          <w:rFonts w:hint="eastAsia" w:cs="宋体"/>
          <w:color w:val="auto"/>
          <w:szCs w:val="24"/>
          <w:highlight w:val="none"/>
        </w:rPr>
        <w:t>＋</w:t>
      </w:r>
      <w:r>
        <w:rPr>
          <w:rFonts w:ascii="Calibri" w:hAnsi="Calibri" w:cs="Calibri"/>
          <w:color w:val="auto"/>
          <w:szCs w:val="24"/>
          <w:highlight w:val="none"/>
        </w:rPr>
        <w:t>F4</w:t>
      </w:r>
      <w:r>
        <w:rPr>
          <w:rFonts w:hint="eastAsia" w:cs="宋体"/>
          <w:color w:val="auto"/>
          <w:szCs w:val="24"/>
          <w:highlight w:val="none"/>
        </w:rPr>
        <w:t>×</w:t>
      </w:r>
      <w:r>
        <w:rPr>
          <w:rFonts w:ascii="Calibri" w:hAnsi="Calibri" w:cs="Calibri"/>
          <w:color w:val="auto"/>
          <w:szCs w:val="24"/>
          <w:highlight w:val="none"/>
        </w:rPr>
        <w:t>A4</w:t>
      </w:r>
      <w:r>
        <w:rPr>
          <w:rFonts w:hint="eastAsia" w:cs="宋体"/>
          <w:color w:val="auto"/>
          <w:szCs w:val="24"/>
          <w:highlight w:val="none"/>
        </w:rPr>
        <w:t>（若有），其中：</w:t>
      </w:r>
      <w:r>
        <w:rPr>
          <w:rFonts w:ascii="Calibri" w:hAnsi="Calibri" w:cs="Calibri"/>
          <w:color w:val="auto"/>
          <w:szCs w:val="24"/>
          <w:highlight w:val="none"/>
        </w:rPr>
        <w:t>F1</w:t>
      </w:r>
      <w:r>
        <w:rPr>
          <w:rFonts w:hint="eastAsia" w:cs="宋体"/>
          <w:color w:val="auto"/>
          <w:szCs w:val="24"/>
          <w:highlight w:val="none"/>
        </w:rPr>
        <w:t>指价格项评审因素得分、</w:t>
      </w:r>
      <w:r>
        <w:rPr>
          <w:rFonts w:ascii="Calibri" w:hAnsi="Calibri" w:cs="Calibri"/>
          <w:color w:val="auto"/>
          <w:szCs w:val="24"/>
          <w:highlight w:val="none"/>
        </w:rPr>
        <w:t>F2</w:t>
      </w:r>
      <w:r>
        <w:rPr>
          <w:rFonts w:hint="eastAsia" w:cs="宋体"/>
          <w:color w:val="auto"/>
          <w:szCs w:val="24"/>
          <w:highlight w:val="none"/>
        </w:rPr>
        <w:t>指技术项评审因素得分、</w:t>
      </w:r>
      <w:r>
        <w:rPr>
          <w:rFonts w:ascii="Calibri" w:hAnsi="Calibri" w:cs="Calibri"/>
          <w:color w:val="auto"/>
          <w:szCs w:val="24"/>
          <w:highlight w:val="none"/>
        </w:rPr>
        <w:t>F3</w:t>
      </w:r>
      <w:r>
        <w:rPr>
          <w:rFonts w:hint="eastAsia" w:cs="宋体"/>
          <w:color w:val="auto"/>
          <w:szCs w:val="24"/>
          <w:highlight w:val="none"/>
        </w:rPr>
        <w:t>指商务项评审因素得分，</w:t>
      </w:r>
      <w:r>
        <w:rPr>
          <w:rFonts w:ascii="Calibri" w:hAnsi="Calibri" w:cs="Calibri"/>
          <w:color w:val="auto"/>
          <w:szCs w:val="24"/>
          <w:highlight w:val="none"/>
        </w:rPr>
        <w:t>A1</w:t>
      </w:r>
      <w:r>
        <w:rPr>
          <w:rFonts w:hint="eastAsia" w:cs="宋体"/>
          <w:color w:val="auto"/>
          <w:szCs w:val="24"/>
          <w:highlight w:val="none"/>
        </w:rPr>
        <w:t>指价格项评审因素所占的权重、</w:t>
      </w:r>
      <w:r>
        <w:rPr>
          <w:rFonts w:ascii="Calibri" w:hAnsi="Calibri" w:cs="Calibri"/>
          <w:color w:val="auto"/>
          <w:szCs w:val="24"/>
          <w:highlight w:val="none"/>
        </w:rPr>
        <w:t>A2</w:t>
      </w:r>
      <w:r>
        <w:rPr>
          <w:rFonts w:hint="eastAsia" w:cs="宋体"/>
          <w:color w:val="auto"/>
          <w:szCs w:val="24"/>
          <w:highlight w:val="none"/>
        </w:rPr>
        <w:t>指技术项评审因素所占的权重、</w:t>
      </w:r>
      <w:r>
        <w:rPr>
          <w:rFonts w:ascii="Calibri" w:hAnsi="Calibri" w:cs="Calibri"/>
          <w:color w:val="auto"/>
          <w:szCs w:val="24"/>
          <w:highlight w:val="none"/>
        </w:rPr>
        <w:t>A3</w:t>
      </w:r>
      <w:r>
        <w:rPr>
          <w:rFonts w:hint="eastAsia" w:cs="宋体"/>
          <w:color w:val="auto"/>
          <w:szCs w:val="24"/>
          <w:highlight w:val="none"/>
        </w:rPr>
        <w:t>指商务项评审因素所占的权重，</w:t>
      </w:r>
      <w:r>
        <w:rPr>
          <w:rFonts w:ascii="Calibri" w:hAnsi="Calibri" w:cs="Calibri"/>
          <w:color w:val="auto"/>
          <w:szCs w:val="24"/>
          <w:highlight w:val="none"/>
        </w:rPr>
        <w:t>A1+A2+A3=1</w:t>
      </w:r>
      <w:r>
        <w:rPr>
          <w:rFonts w:hint="eastAsia" w:cs="宋体"/>
          <w:color w:val="auto"/>
          <w:szCs w:val="24"/>
          <w:highlight w:val="none"/>
        </w:rPr>
        <w:t>、</w:t>
      </w:r>
      <w:r>
        <w:rPr>
          <w:rFonts w:ascii="Calibri" w:hAnsi="Calibri" w:cs="Calibri"/>
          <w:color w:val="auto"/>
          <w:szCs w:val="24"/>
          <w:highlight w:val="none"/>
        </w:rPr>
        <w:t>F1</w:t>
      </w:r>
      <w:r>
        <w:rPr>
          <w:rFonts w:hint="eastAsia" w:cs="宋体"/>
          <w:color w:val="auto"/>
          <w:szCs w:val="24"/>
          <w:highlight w:val="none"/>
        </w:rPr>
        <w:t>×</w:t>
      </w:r>
      <w:r>
        <w:rPr>
          <w:rFonts w:ascii="Calibri" w:hAnsi="Calibri" w:cs="Calibri"/>
          <w:color w:val="auto"/>
          <w:szCs w:val="24"/>
          <w:highlight w:val="none"/>
        </w:rPr>
        <w:t>A1</w:t>
      </w:r>
      <w:r>
        <w:rPr>
          <w:rFonts w:hint="eastAsia" w:cs="宋体"/>
          <w:color w:val="auto"/>
          <w:szCs w:val="24"/>
          <w:highlight w:val="none"/>
        </w:rPr>
        <w:t>＋</w:t>
      </w:r>
      <w:r>
        <w:rPr>
          <w:rFonts w:ascii="Calibri" w:hAnsi="Calibri" w:cs="Calibri"/>
          <w:color w:val="auto"/>
          <w:szCs w:val="24"/>
          <w:highlight w:val="none"/>
        </w:rPr>
        <w:t>F2</w:t>
      </w:r>
      <w:r>
        <w:rPr>
          <w:rFonts w:hint="eastAsia" w:cs="宋体"/>
          <w:color w:val="auto"/>
          <w:szCs w:val="24"/>
          <w:highlight w:val="none"/>
        </w:rPr>
        <w:t>×</w:t>
      </w:r>
      <w:r>
        <w:rPr>
          <w:rFonts w:ascii="Calibri" w:hAnsi="Calibri" w:cs="Calibri"/>
          <w:color w:val="auto"/>
          <w:szCs w:val="24"/>
          <w:highlight w:val="none"/>
        </w:rPr>
        <w:t>A2</w:t>
      </w:r>
      <w:r>
        <w:rPr>
          <w:rFonts w:hint="eastAsia" w:cs="宋体"/>
          <w:color w:val="auto"/>
          <w:szCs w:val="24"/>
          <w:highlight w:val="none"/>
        </w:rPr>
        <w:t>＋</w:t>
      </w:r>
      <w:r>
        <w:rPr>
          <w:rFonts w:ascii="Calibri" w:hAnsi="Calibri" w:cs="Calibri"/>
          <w:color w:val="auto"/>
          <w:szCs w:val="24"/>
          <w:highlight w:val="none"/>
        </w:rPr>
        <w:t>F3</w:t>
      </w:r>
      <w:r>
        <w:rPr>
          <w:rFonts w:hint="eastAsia" w:cs="宋体"/>
          <w:color w:val="auto"/>
          <w:szCs w:val="24"/>
          <w:highlight w:val="none"/>
        </w:rPr>
        <w:t>×</w:t>
      </w:r>
      <w:r>
        <w:rPr>
          <w:rFonts w:ascii="Calibri" w:hAnsi="Calibri" w:cs="Calibri"/>
          <w:color w:val="auto"/>
          <w:szCs w:val="24"/>
          <w:highlight w:val="none"/>
        </w:rPr>
        <w:t>A3=100</w:t>
      </w:r>
      <w:r>
        <w:rPr>
          <w:rFonts w:hint="eastAsia" w:cs="宋体"/>
          <w:color w:val="auto"/>
          <w:szCs w:val="24"/>
          <w:highlight w:val="none"/>
        </w:rPr>
        <w:t>分（满分时），</w:t>
      </w:r>
      <w:r>
        <w:rPr>
          <w:rFonts w:ascii="Calibri" w:hAnsi="Calibri" w:cs="Calibri"/>
          <w:color w:val="auto"/>
          <w:szCs w:val="24"/>
          <w:highlight w:val="none"/>
        </w:rPr>
        <w:t>F4</w:t>
      </w:r>
      <w:r>
        <w:rPr>
          <w:rFonts w:hint="eastAsia" w:cs="宋体"/>
          <w:color w:val="auto"/>
          <w:szCs w:val="24"/>
          <w:highlight w:val="none"/>
        </w:rPr>
        <w:t>×</w:t>
      </w:r>
      <w:r>
        <w:rPr>
          <w:rFonts w:ascii="Calibri" w:hAnsi="Calibri" w:cs="Calibri"/>
          <w:color w:val="auto"/>
          <w:szCs w:val="24"/>
          <w:highlight w:val="none"/>
        </w:rPr>
        <w:t>A4</w:t>
      </w:r>
      <w:r>
        <w:rPr>
          <w:rFonts w:hint="eastAsia" w:cs="宋体"/>
          <w:color w:val="auto"/>
          <w:szCs w:val="24"/>
          <w:highlight w:val="none"/>
        </w:rPr>
        <w:t>为加分项（即优先类节能产品、环境标志产品在采购活动中可享有的加分优惠）。</w:t>
      </w:r>
      <w:r>
        <w:rPr>
          <w:color w:val="auto"/>
          <w:highlight w:val="none"/>
        </w:rPr>
        <w:t xml:space="preserve"> </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2"/>
        <w:textAlignment w:val="auto"/>
        <w:rPr>
          <w:color w:val="auto"/>
          <w:highlight w:val="none"/>
        </w:rPr>
      </w:pPr>
      <w:r>
        <w:rPr>
          <w:rFonts w:hint="eastAsia" w:cs="宋体"/>
          <w:color w:val="auto"/>
          <w:szCs w:val="24"/>
          <w:highlight w:val="none"/>
        </w:rPr>
        <w:t>（3）各项评审因素的设置如下：</w:t>
      </w:r>
      <w:r>
        <w:rPr>
          <w:color w:val="auto"/>
          <w:highlight w:val="none"/>
        </w:rPr>
        <w:t xml:space="preserve"> </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2"/>
        <w:textAlignment w:val="auto"/>
        <w:rPr>
          <w:color w:val="auto"/>
          <w:highlight w:val="none"/>
        </w:rPr>
      </w:pPr>
      <w:r>
        <w:rPr>
          <w:rFonts w:hint="eastAsia" w:cs="宋体"/>
          <w:color w:val="auto"/>
          <w:szCs w:val="24"/>
          <w:highlight w:val="none"/>
        </w:rPr>
        <w:t>①价格项（</w:t>
      </w:r>
      <w:r>
        <w:rPr>
          <w:rFonts w:ascii="Calibri" w:hAnsi="Calibri" w:cs="Calibri"/>
          <w:color w:val="auto"/>
          <w:szCs w:val="24"/>
          <w:highlight w:val="none"/>
        </w:rPr>
        <w:t>F1</w:t>
      </w:r>
      <w:r>
        <w:rPr>
          <w:rFonts w:hint="eastAsia" w:cs="宋体"/>
          <w:color w:val="auto"/>
          <w:szCs w:val="24"/>
          <w:highlight w:val="none"/>
        </w:rPr>
        <w:t>×</w:t>
      </w:r>
      <w:r>
        <w:rPr>
          <w:rFonts w:ascii="Calibri" w:hAnsi="Calibri" w:cs="Calibri"/>
          <w:color w:val="auto"/>
          <w:szCs w:val="24"/>
          <w:highlight w:val="none"/>
        </w:rPr>
        <w:t>A1</w:t>
      </w:r>
      <w:r>
        <w:rPr>
          <w:rFonts w:hint="eastAsia" w:cs="宋体"/>
          <w:color w:val="auto"/>
          <w:szCs w:val="24"/>
          <w:highlight w:val="none"/>
        </w:rPr>
        <w:t>）满分为</w:t>
      </w:r>
      <w:r>
        <w:rPr>
          <w:rFonts w:hint="eastAsia" w:cs="宋体"/>
          <w:color w:val="auto"/>
          <w:szCs w:val="24"/>
          <w:highlight w:val="none"/>
          <w:u w:val="single"/>
        </w:rPr>
        <w:t>4</w:t>
      </w:r>
      <w:r>
        <w:rPr>
          <w:rFonts w:hint="eastAsia" w:cs="宋体"/>
          <w:color w:val="auto"/>
          <w:szCs w:val="24"/>
          <w:highlight w:val="none"/>
          <w:u w:val="single"/>
          <w:lang w:val="en-US" w:eastAsia="zh-CN"/>
        </w:rPr>
        <w:t>5</w:t>
      </w:r>
      <w:r>
        <w:rPr>
          <w:rFonts w:hint="eastAsia" w:cs="宋体"/>
          <w:color w:val="auto"/>
          <w:szCs w:val="24"/>
          <w:highlight w:val="none"/>
        </w:rPr>
        <w:t>分。</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2"/>
        <w:textAlignment w:val="auto"/>
        <w:rPr>
          <w:color w:val="auto"/>
          <w:highlight w:val="none"/>
        </w:rPr>
      </w:pPr>
      <w:r>
        <w:rPr>
          <w:rFonts w:hint="eastAsia" w:cs="宋体"/>
          <w:color w:val="auto"/>
          <w:szCs w:val="24"/>
          <w:highlight w:val="none"/>
        </w:rPr>
        <w:t>a.价格分采用低价优先法计算，即满足招标文件要求且投标价格最低的投标报价为评标基准价，其价格分为满分。其他投标人的价格分统一按照下列公式计算：投标报价得分</w:t>
      </w:r>
      <w:r>
        <w:rPr>
          <w:rFonts w:ascii="Calibri" w:hAnsi="Calibri" w:cs="Calibri"/>
          <w:color w:val="auto"/>
          <w:szCs w:val="24"/>
          <w:highlight w:val="none"/>
        </w:rPr>
        <w:t>=</w:t>
      </w:r>
      <w:r>
        <w:rPr>
          <w:rFonts w:hint="eastAsia" w:cs="宋体"/>
          <w:color w:val="auto"/>
          <w:szCs w:val="24"/>
          <w:highlight w:val="none"/>
        </w:rPr>
        <w:t>（评标基准价／投标报价）×</w:t>
      </w:r>
      <w:r>
        <w:rPr>
          <w:rFonts w:ascii="Calibri" w:hAnsi="Calibri" w:cs="Calibri"/>
          <w:color w:val="auto"/>
          <w:szCs w:val="24"/>
          <w:highlight w:val="none"/>
        </w:rPr>
        <w:t>100</w:t>
      </w:r>
      <w:r>
        <w:rPr>
          <w:rFonts w:hint="eastAsia" w:cs="宋体"/>
          <w:color w:val="auto"/>
          <w:szCs w:val="24"/>
          <w:highlight w:val="none"/>
        </w:rPr>
        <w:t>。因落实政府采购政策需进行价格扣除的，以扣除后的价格计算评标基准价和投标报价。</w:t>
      </w:r>
      <w:r>
        <w:rPr>
          <w:color w:val="auto"/>
          <w:highlight w:val="none"/>
        </w:rPr>
        <w:t xml:space="preserve"> </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2"/>
        <w:textAlignment w:val="auto"/>
        <w:rPr>
          <w:rFonts w:hint="eastAsia" w:cs="宋体"/>
          <w:color w:val="auto"/>
          <w:highlight w:val="none"/>
        </w:rPr>
      </w:pPr>
      <w:r>
        <w:rPr>
          <w:rFonts w:hint="eastAsia" w:cs="宋体"/>
          <w:color w:val="auto"/>
          <w:highlight w:val="none"/>
        </w:rPr>
        <w:t>b.价格扣除的规则如下：</w:t>
      </w:r>
    </w:p>
    <w:tbl>
      <w:tblPr>
        <w:tblStyle w:val="19"/>
        <w:tblW w:w="941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11"/>
        <w:gridCol w:w="8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911" w:type="dxa"/>
            <w:tcBorders>
              <w:top w:val="outset" w:color="auto" w:sz="6" w:space="0"/>
              <w:left w:val="outset" w:color="auto" w:sz="6" w:space="0"/>
              <w:bottom w:val="outset" w:color="auto" w:sz="6" w:space="0"/>
              <w:right w:val="outset" w:color="auto" w:sz="6" w:space="0"/>
            </w:tcBorders>
            <w:noWrap/>
            <w:vAlign w:val="center"/>
          </w:tcPr>
          <w:p>
            <w:pPr>
              <w:widowControl/>
              <w:jc w:val="left"/>
              <w:rPr>
                <w:color w:val="auto"/>
                <w:highlight w:val="none"/>
              </w:rPr>
            </w:pPr>
            <w:r>
              <w:rPr>
                <w:rFonts w:ascii="宋体" w:hAnsi="宋体" w:cs="宋体"/>
                <w:color w:val="auto"/>
                <w:kern w:val="0"/>
                <w:sz w:val="24"/>
                <w:highlight w:val="none"/>
              </w:rPr>
              <w:t>评标项目</w:t>
            </w:r>
          </w:p>
        </w:tc>
        <w:tc>
          <w:tcPr>
            <w:tcW w:w="8500" w:type="dxa"/>
            <w:tcBorders>
              <w:top w:val="outset" w:color="auto" w:sz="6" w:space="0"/>
              <w:left w:val="outset" w:color="auto" w:sz="6" w:space="0"/>
              <w:bottom w:val="outset" w:color="auto" w:sz="6" w:space="0"/>
              <w:right w:val="outset" w:color="auto" w:sz="6" w:space="0"/>
            </w:tcBorders>
            <w:noWrap/>
            <w:vAlign w:val="center"/>
          </w:tcPr>
          <w:p>
            <w:pPr>
              <w:widowControl/>
              <w:jc w:val="left"/>
              <w:rPr>
                <w:color w:val="auto"/>
                <w:highlight w:val="none"/>
              </w:rPr>
            </w:pPr>
            <w:r>
              <w:rPr>
                <w:rFonts w:ascii="宋体" w:hAnsi="宋体" w:cs="宋体"/>
                <w:color w:val="auto"/>
                <w:kern w:val="0"/>
                <w:sz w:val="24"/>
                <w:highlight w:val="none"/>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11" w:type="dxa"/>
            <w:tcBorders>
              <w:top w:val="outset" w:color="auto" w:sz="6" w:space="0"/>
              <w:left w:val="outset" w:color="auto" w:sz="6" w:space="0"/>
              <w:bottom w:val="outset" w:color="auto" w:sz="6" w:space="0"/>
              <w:right w:val="outset" w:color="auto" w:sz="6" w:space="0"/>
            </w:tcBorders>
            <w:noWrap/>
            <w:vAlign w:val="center"/>
          </w:tcPr>
          <w:p>
            <w:pPr>
              <w:widowControl/>
              <w:jc w:val="left"/>
              <w:rPr>
                <w:color w:val="auto"/>
                <w:highlight w:val="none"/>
              </w:rPr>
            </w:pPr>
            <w:r>
              <w:rPr>
                <w:rFonts w:ascii="宋体" w:hAnsi="宋体" w:cs="宋体"/>
                <w:color w:val="auto"/>
                <w:kern w:val="0"/>
                <w:sz w:val="24"/>
                <w:highlight w:val="none"/>
              </w:rPr>
              <w:t>小型、微型企业，监狱企业，残疾人</w:t>
            </w:r>
          </w:p>
        </w:tc>
        <w:tc>
          <w:tcPr>
            <w:tcW w:w="850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hint="eastAsia" w:eastAsia="宋体"/>
                <w:color w:val="auto"/>
                <w:highlight w:val="none"/>
                <w:lang w:val="en-US" w:eastAsia="zh-CN"/>
              </w:rPr>
            </w:pPr>
            <w:r>
              <w:rPr>
                <w:rFonts w:hint="eastAsia" w:ascii="宋体" w:hAnsi="宋体" w:cs="宋体"/>
                <w:b/>
                <w:color w:val="auto"/>
                <w:kern w:val="0"/>
                <w:sz w:val="24"/>
                <w:highlight w:val="none"/>
                <w:lang w:bidi="ar"/>
              </w:rPr>
              <w:t>本项目为非专门面向中小企业采购项目。1、评审时，对符合《政府采购促进中小企业发展管理办法》（财库﹝2020﹞46号）规定的小微企业报价给予价格扣除（货物和服务项目为15%；工程项目为3%），用扣除后的价格参加评审。投标人须提供合格的《中小企业声明函》（格式详见招标文件第七章），否则不予价格扣除。若同一合同包内的小型、微型企业产品仅是构成报价产品的部件、组件或零件的，则该报价产品不给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工程项目为3%）的价格扣除，但必须提供由省级以上监狱管理局、戒毒管理局（含新疆生产建设兵团）出具的属于监狱企业的证明文件，否则评审时不予价格扣除优惠。 3、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件规定，在政府采购活动中，残疾人福利性单位视同小型、微型企业，符合条件的残疾人福利性单位在参加政府采购活动时，对残疾人福利性单位产品按规定价格给予1</w:t>
            </w:r>
            <w:r>
              <w:rPr>
                <w:rFonts w:hint="eastAsia" w:ascii="宋体" w:hAnsi="宋体" w:cs="宋体"/>
                <w:b/>
                <w:color w:val="auto"/>
                <w:kern w:val="0"/>
                <w:sz w:val="24"/>
                <w:highlight w:val="none"/>
                <w:lang w:val="en-US" w:eastAsia="zh-CN" w:bidi="ar"/>
              </w:rPr>
              <w:t>5</w:t>
            </w:r>
            <w:r>
              <w:rPr>
                <w:rFonts w:hint="eastAsia" w:ascii="宋体" w:hAnsi="宋体" w:cs="宋体"/>
                <w:b/>
                <w:color w:val="auto"/>
                <w:kern w:val="0"/>
                <w:sz w:val="24"/>
                <w:highlight w:val="none"/>
                <w:lang w:bidi="ar"/>
              </w:rPr>
              <w:t>%（工程项目为3%）扣除，须提供《残疾人福利性单位声明函》（格式详见招标文件第七章）并对声明的真实性负责。残疾人福利性单位属于小型、微型企业的，不重复享受政策。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4、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w:t>
            </w:r>
            <w:r>
              <w:rPr>
                <w:rStyle w:val="22"/>
                <w:rFonts w:hint="eastAsia" w:ascii="宋体" w:hAnsi="宋体" w:cs="宋体"/>
                <w:color w:val="auto"/>
                <w:kern w:val="0"/>
                <w:sz w:val="24"/>
                <w:highlight w:val="none"/>
                <w:lang w:val="en-US" w:eastAsia="zh-CN" w:bidi="ar"/>
              </w:rPr>
              <w:t>5、</w:t>
            </w:r>
            <w:r>
              <w:rPr>
                <w:rFonts w:hint="eastAsia" w:ascii="宋体" w:hAnsi="宋体" w:cs="宋体"/>
                <w:b/>
                <w:bCs/>
                <w:color w:val="auto"/>
                <w:kern w:val="0"/>
                <w:sz w:val="24"/>
                <w:highlight w:val="none"/>
                <w:lang w:bidi="ar"/>
              </w:rPr>
              <w:t>本项目为</w:t>
            </w:r>
            <w:r>
              <w:rPr>
                <w:rFonts w:hint="eastAsia" w:ascii="宋体" w:hAnsi="宋体" w:cs="宋体"/>
                <w:b/>
                <w:bCs/>
                <w:color w:val="auto"/>
                <w:kern w:val="0"/>
                <w:sz w:val="24"/>
                <w:highlight w:val="none"/>
                <w:lang w:val="en-US" w:eastAsia="zh-CN" w:bidi="ar"/>
              </w:rPr>
              <w:t>货物</w:t>
            </w:r>
            <w:r>
              <w:rPr>
                <w:rFonts w:hint="eastAsia" w:ascii="宋体" w:hAnsi="宋体" w:cs="宋体"/>
                <w:b/>
                <w:bCs/>
                <w:color w:val="auto"/>
                <w:kern w:val="0"/>
                <w:sz w:val="24"/>
                <w:highlight w:val="none"/>
                <w:lang w:bidi="ar"/>
              </w:rPr>
              <w:t>类采购项目，行业属于“</w:t>
            </w:r>
            <w:r>
              <w:rPr>
                <w:rFonts w:hint="eastAsia" w:ascii="宋体" w:hAnsi="宋体" w:cs="宋体"/>
                <w:b/>
                <w:bCs/>
                <w:color w:val="auto"/>
                <w:kern w:val="0"/>
                <w:sz w:val="24"/>
                <w:highlight w:val="none"/>
                <w:lang w:val="en-US" w:eastAsia="zh-CN" w:bidi="ar"/>
              </w:rPr>
              <w:t>工业</w:t>
            </w:r>
            <w:r>
              <w:rPr>
                <w:rFonts w:hint="eastAsia" w:ascii="宋体" w:hAnsi="宋体" w:cs="宋体"/>
                <w:b/>
                <w:bCs/>
                <w:color w:val="auto"/>
                <w:kern w:val="0"/>
                <w:sz w:val="24"/>
                <w:highlight w:val="none"/>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11" w:type="dxa"/>
            <w:tcBorders>
              <w:top w:val="outset" w:color="auto" w:sz="6" w:space="0"/>
              <w:left w:val="outset" w:color="auto" w:sz="6" w:space="0"/>
              <w:bottom w:val="outset" w:color="auto" w:sz="6" w:space="0"/>
              <w:right w:val="outset" w:color="auto" w:sz="6" w:space="0"/>
            </w:tcBorders>
            <w:noWrap/>
            <w:vAlign w:val="center"/>
          </w:tcPr>
          <w:p>
            <w:pPr>
              <w:widowControl/>
              <w:jc w:val="left"/>
              <w:rPr>
                <w:color w:val="auto"/>
                <w:highlight w:val="none"/>
              </w:rPr>
            </w:pPr>
            <w:r>
              <w:rPr>
                <w:rFonts w:ascii="宋体" w:hAnsi="宋体" w:cs="宋体"/>
                <w:color w:val="auto"/>
                <w:kern w:val="0"/>
                <w:sz w:val="24"/>
                <w:highlight w:val="none"/>
              </w:rPr>
              <w:t>节能产品</w:t>
            </w:r>
          </w:p>
        </w:tc>
        <w:tc>
          <w:tcPr>
            <w:tcW w:w="8500" w:type="dxa"/>
            <w:tcBorders>
              <w:top w:val="outset" w:color="auto" w:sz="6" w:space="0"/>
              <w:left w:val="outset" w:color="auto" w:sz="6" w:space="0"/>
              <w:bottom w:val="outset" w:color="auto" w:sz="6" w:space="0"/>
              <w:right w:val="outset" w:color="auto" w:sz="6" w:space="0"/>
            </w:tcBorders>
            <w:noWrap/>
            <w:vAlign w:val="center"/>
          </w:tcPr>
          <w:p>
            <w:pPr>
              <w:widowControl/>
              <w:jc w:val="left"/>
              <w:rPr>
                <w:color w:val="auto"/>
                <w:highlight w:val="none"/>
              </w:rPr>
            </w:pPr>
            <w:r>
              <w:rPr>
                <w:rStyle w:val="22"/>
                <w:rFonts w:ascii="宋体" w:hAnsi="宋体" w:cs="宋体"/>
                <w:color w:val="auto"/>
                <w:kern w:val="0"/>
                <w:sz w:val="24"/>
                <w:highlight w:val="none"/>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16"/>
        <w:spacing w:line="400" w:lineRule="exact"/>
        <w:ind w:firstLine="480"/>
        <w:rPr>
          <w:rFonts w:hint="eastAsia" w:cs="宋体"/>
          <w:color w:val="auto"/>
          <w:highlight w:val="none"/>
        </w:rPr>
      </w:pPr>
      <w:r>
        <w:rPr>
          <w:rFonts w:hint="eastAsia" w:cs="宋体"/>
          <w:color w:val="auto"/>
          <w:highlight w:val="none"/>
        </w:rPr>
        <w:t>②技术项（F2×A2）满分为</w:t>
      </w:r>
      <w:r>
        <w:rPr>
          <w:rFonts w:hint="eastAsia" w:cs="宋体"/>
          <w:color w:val="auto"/>
          <w:highlight w:val="none"/>
          <w:u w:val="single"/>
        </w:rPr>
        <w:t>4</w:t>
      </w:r>
      <w:r>
        <w:rPr>
          <w:rFonts w:hint="eastAsia" w:cs="宋体"/>
          <w:color w:val="auto"/>
          <w:highlight w:val="none"/>
          <w:u w:val="single"/>
          <w:lang w:val="en-US" w:eastAsia="zh-CN"/>
        </w:rPr>
        <w:t>3</w:t>
      </w:r>
      <w:r>
        <w:rPr>
          <w:rFonts w:hint="eastAsia" w:cs="宋体"/>
          <w:color w:val="auto"/>
          <w:highlight w:val="none"/>
        </w:rPr>
        <w:t>分。</w:t>
      </w:r>
      <w:r>
        <w:rPr>
          <w:rFonts w:hint="eastAsia" w:cs="宋体"/>
          <w:color w:val="auto"/>
          <w:highlight w:val="none"/>
        </w:rPr>
        <w:br w:type="textWrapping"/>
      </w:r>
      <w:r>
        <w:rPr>
          <w:rFonts w:hint="eastAsia" w:cs="宋体"/>
          <w:color w:val="auto"/>
          <w:highlight w:val="none"/>
        </w:rPr>
        <w:t>（</w:t>
      </w:r>
      <w:r>
        <w:rPr>
          <w:b/>
          <w:bCs/>
          <w:color w:val="auto"/>
          <w:szCs w:val="24"/>
          <w:highlight w:val="none"/>
        </w:rPr>
        <w:t>※若该部分采用负偏离扣分或不满足不得分进行评分，则该部分实际得分少于招标文件设定技术部分总分50%的，投标无效。</w:t>
      </w:r>
      <w:r>
        <w:rPr>
          <w:rFonts w:hint="eastAsia" w:cs="宋体"/>
          <w:color w:val="auto"/>
          <w:highlight w:val="none"/>
        </w:rPr>
        <w:t>）</w:t>
      </w:r>
    </w:p>
    <w:tbl>
      <w:tblPr>
        <w:tblStyle w:val="19"/>
        <w:tblW w:w="905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9"/>
        <w:gridCol w:w="867"/>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jc w:val="center"/>
        </w:trPr>
        <w:tc>
          <w:tcPr>
            <w:tcW w:w="1109" w:type="dxa"/>
            <w:noWrap w:val="0"/>
            <w:vAlign w:val="center"/>
          </w:tcPr>
          <w:p>
            <w:pPr>
              <w:widowControl/>
              <w:spacing w:line="400" w:lineRule="exact"/>
              <w:jc w:val="center"/>
              <w:rPr>
                <w:rFonts w:ascii="宋体" w:hAnsi="宋体" w:cs="宋体"/>
                <w:color w:val="auto"/>
                <w:sz w:val="24"/>
                <w:highlight w:val="none"/>
              </w:rPr>
            </w:pPr>
            <w:r>
              <w:rPr>
                <w:rFonts w:hint="eastAsia" w:ascii="宋体" w:hAnsi="宋体" w:cs="宋体"/>
                <w:color w:val="auto"/>
                <w:kern w:val="0"/>
                <w:sz w:val="24"/>
                <w:highlight w:val="none"/>
              </w:rPr>
              <w:t>评标项目</w:t>
            </w:r>
          </w:p>
        </w:tc>
        <w:tc>
          <w:tcPr>
            <w:tcW w:w="867" w:type="dxa"/>
            <w:noWrap w:val="0"/>
            <w:vAlign w:val="center"/>
          </w:tcPr>
          <w:p>
            <w:pPr>
              <w:widowControl/>
              <w:spacing w:line="4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评标</w:t>
            </w:r>
          </w:p>
          <w:p>
            <w:pPr>
              <w:widowControl/>
              <w:spacing w:line="400" w:lineRule="exact"/>
              <w:jc w:val="center"/>
              <w:rPr>
                <w:rFonts w:ascii="宋体" w:hAnsi="宋体" w:cs="宋体"/>
                <w:color w:val="auto"/>
                <w:sz w:val="24"/>
                <w:highlight w:val="none"/>
              </w:rPr>
            </w:pPr>
            <w:r>
              <w:rPr>
                <w:rFonts w:hint="eastAsia" w:ascii="宋体" w:hAnsi="宋体" w:cs="宋体"/>
                <w:color w:val="auto"/>
                <w:kern w:val="0"/>
                <w:sz w:val="24"/>
                <w:highlight w:val="none"/>
              </w:rPr>
              <w:t>分值</w:t>
            </w:r>
          </w:p>
        </w:tc>
        <w:tc>
          <w:tcPr>
            <w:tcW w:w="7078" w:type="dxa"/>
            <w:noWrap w:val="0"/>
            <w:vAlign w:val="center"/>
          </w:tcPr>
          <w:p>
            <w:pPr>
              <w:widowControl/>
              <w:spacing w:line="360" w:lineRule="auto"/>
              <w:jc w:val="left"/>
              <w:rPr>
                <w:rFonts w:ascii="宋体" w:hAnsi="宋体" w:cs="宋体"/>
                <w:color w:val="auto"/>
                <w:sz w:val="24"/>
                <w:highlight w:val="none"/>
              </w:rPr>
            </w:pPr>
            <w:r>
              <w:rPr>
                <w:rFonts w:hint="eastAsia" w:ascii="宋体" w:hAnsi="宋体" w:cs="宋体"/>
                <w:color w:val="auto"/>
                <w:kern w:val="0"/>
                <w:sz w:val="24"/>
                <w:highlight w:val="none"/>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109" w:type="dxa"/>
            <w:noWrap w:val="0"/>
            <w:vAlign w:val="center"/>
          </w:tcPr>
          <w:p>
            <w:pPr>
              <w:widowControl/>
              <w:spacing w:line="400" w:lineRule="exact"/>
              <w:jc w:val="center"/>
              <w:rPr>
                <w:rFonts w:ascii="宋体" w:hAnsi="宋体" w:cs="宋体"/>
                <w:b w:val="0"/>
                <w:bCs w:val="0"/>
                <w:color w:val="auto"/>
                <w:sz w:val="24"/>
                <w:highlight w:val="none"/>
              </w:rPr>
            </w:pPr>
            <w:r>
              <w:rPr>
                <w:rFonts w:hint="eastAsia" w:ascii="宋体" w:hAnsi="宋体" w:cs="宋体"/>
                <w:b w:val="0"/>
                <w:bCs w:val="0"/>
                <w:color w:val="auto"/>
                <w:kern w:val="0"/>
                <w:sz w:val="24"/>
                <w:highlight w:val="none"/>
              </w:rPr>
              <w:t>1.技术响应</w:t>
            </w:r>
          </w:p>
        </w:tc>
        <w:tc>
          <w:tcPr>
            <w:tcW w:w="867" w:type="dxa"/>
            <w:noWrap w:val="0"/>
            <w:vAlign w:val="center"/>
          </w:tcPr>
          <w:p>
            <w:pPr>
              <w:widowControl/>
              <w:spacing w:line="400" w:lineRule="exact"/>
              <w:jc w:val="center"/>
              <w:rPr>
                <w:rFonts w:hint="default"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37</w:t>
            </w:r>
          </w:p>
        </w:tc>
        <w:tc>
          <w:tcPr>
            <w:tcW w:w="7078" w:type="dxa"/>
            <w:noWrap w:val="0"/>
            <w:vAlign w:val="center"/>
          </w:tcPr>
          <w:p>
            <w:pPr>
              <w:widowControl/>
              <w:spacing w:line="360" w:lineRule="auto"/>
              <w:jc w:val="left"/>
              <w:rPr>
                <w:rFonts w:ascii="宋体" w:hAnsi="宋体" w:cs="宋体"/>
                <w:color w:val="auto"/>
                <w:kern w:val="0"/>
                <w:sz w:val="24"/>
                <w:highlight w:val="none"/>
                <w:lang w:bidi="ar"/>
              </w:rPr>
            </w:pPr>
            <w:r>
              <w:rPr>
                <w:rFonts w:hint="eastAsia" w:ascii="宋体" w:hAnsi="宋体" w:cs="宋体"/>
                <w:color w:val="auto"/>
                <w:kern w:val="0"/>
                <w:sz w:val="24"/>
                <w:highlight w:val="none"/>
              </w:rPr>
              <w:t>根据</w:t>
            </w:r>
            <w:r>
              <w:rPr>
                <w:rFonts w:ascii="宋体" w:hAnsi="宋体" w:cs="宋体"/>
                <w:color w:val="auto"/>
                <w:kern w:val="0"/>
                <w:sz w:val="24"/>
                <w:highlight w:val="none"/>
                <w:lang w:bidi="ar"/>
              </w:rPr>
              <w:t>各投标人对第五章招标内容及要求“</w:t>
            </w:r>
            <w:r>
              <w:rPr>
                <w:rFonts w:ascii="宋体" w:hAnsi="宋体" w:cs="宋体"/>
                <w:b/>
                <w:bCs/>
                <w:color w:val="auto"/>
                <w:kern w:val="0"/>
                <w:sz w:val="24"/>
                <w:highlight w:val="none"/>
                <w:lang w:bidi="ar"/>
              </w:rPr>
              <w:t>二、技术和服务要求”</w:t>
            </w:r>
            <w:r>
              <w:rPr>
                <w:rFonts w:hint="eastAsia" w:ascii="宋体" w:hAnsi="宋体" w:cs="宋体"/>
                <w:b/>
                <w:bCs/>
                <w:color w:val="auto"/>
                <w:kern w:val="0"/>
                <w:sz w:val="24"/>
                <w:highlight w:val="none"/>
                <w:lang w:val="en-US" w:eastAsia="zh-CN" w:bidi="ar"/>
              </w:rPr>
              <w:t xml:space="preserve">  2、</w:t>
            </w:r>
            <w:r>
              <w:rPr>
                <w:rFonts w:hint="eastAsia" w:ascii="宋体" w:hAnsi="宋体" w:cs="宋体"/>
                <w:b/>
                <w:bCs/>
                <w:color w:val="auto"/>
                <w:kern w:val="0"/>
                <w:sz w:val="24"/>
                <w:highlight w:val="none"/>
                <w:lang w:bidi="ar"/>
              </w:rPr>
              <w:t>主要参数规格及要求</w:t>
            </w:r>
            <w:r>
              <w:rPr>
                <w:rFonts w:hint="eastAsia" w:ascii="宋体" w:hAnsi="宋体" w:cs="宋体"/>
                <w:color w:val="auto"/>
                <w:kern w:val="0"/>
                <w:sz w:val="24"/>
                <w:highlight w:val="none"/>
              </w:rPr>
              <w:t>进行逐条逐项的答复、说明、解释和实质响应情况进行评价，投标人应在投标文件中提供技术规格偏离表（或点对点应答书），未按要求提供技术规格和商务偏离表（或点对点应答书）的，评标委员会可以对投标人做出不利的评审。 根据投标货物的技术指标、性能、配置是否符合招标文件的要求及符合程度进行评价，满分</w:t>
            </w:r>
            <w:r>
              <w:rPr>
                <w:rFonts w:hint="eastAsia" w:ascii="宋体" w:hAnsi="宋体" w:cs="宋体"/>
                <w:color w:val="auto"/>
                <w:kern w:val="0"/>
                <w:sz w:val="24"/>
                <w:highlight w:val="none"/>
                <w:lang w:val="en-US" w:eastAsia="zh-CN"/>
              </w:rPr>
              <w:t>37</w:t>
            </w:r>
            <w:r>
              <w:rPr>
                <w:rFonts w:hint="eastAsia" w:ascii="宋体" w:hAnsi="宋体" w:cs="宋体"/>
                <w:color w:val="auto"/>
                <w:kern w:val="0"/>
                <w:sz w:val="24"/>
                <w:highlight w:val="none"/>
              </w:rPr>
              <w:t>分，技术参数一项不满足扣</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分</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共37项</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，扣完为止。</w:t>
            </w:r>
          </w:p>
          <w:p>
            <w:pPr>
              <w:widowControl/>
              <w:spacing w:line="360" w:lineRule="auto"/>
              <w:jc w:val="left"/>
              <w:rPr>
                <w:rFonts w:ascii="宋体" w:hAnsi="宋体" w:cs="宋体"/>
                <w:color w:val="auto"/>
                <w:kern w:val="0"/>
                <w:sz w:val="24"/>
                <w:highlight w:val="none"/>
                <w:lang w:bidi="ar"/>
              </w:rPr>
            </w:pPr>
            <w:r>
              <w:rPr>
                <w:rFonts w:ascii="宋体" w:hAnsi="宋体" w:cs="宋体"/>
                <w:color w:val="auto"/>
                <w:kern w:val="0"/>
                <w:sz w:val="24"/>
                <w:highlight w:val="none"/>
                <w:lang w:bidi="ar"/>
              </w:rPr>
              <w:t>【注：“技术和服务要求”中若有要求投标人提供相应佐证材料的内容，投标人应在“技术和服务要求响应表”中明确响应或承诺并提供相应佐证材料，并在“技术和服务要求响应表”的“是否偏离及说明”中注明证明材料页码，未按要求提供相应佐证材料或者投标人的响应承诺与其佐证材料不一致的，评标委员会将以不利于投标人的内容为准进行评审；“二、技术和服务要求”中未要求投标人提供相应佐证材料的，投标人应在“技术和服务要求响应表”中明确响应或承诺，未明确响应或承诺的，评标委员会将以不利于投标人的内容为准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tblCellSpacing w:w="0" w:type="dxa"/>
          <w:jc w:val="center"/>
        </w:trPr>
        <w:tc>
          <w:tcPr>
            <w:tcW w:w="1109" w:type="dxa"/>
            <w:noWrap w:val="0"/>
            <w:vAlign w:val="center"/>
          </w:tcPr>
          <w:p>
            <w:pPr>
              <w:keepNext w:val="0"/>
              <w:keepLines w:val="0"/>
              <w:widowControl/>
              <w:suppressLineNumbers w:val="0"/>
              <w:jc w:val="left"/>
              <w:rPr>
                <w:rFonts w:hint="default" w:ascii="宋体" w:hAnsi="宋体" w:cs="宋体"/>
                <w:b w:val="0"/>
                <w:bCs w:val="0"/>
                <w:color w:val="auto"/>
                <w:kern w:val="0"/>
                <w:sz w:val="24"/>
                <w:highlight w:val="none"/>
                <w:lang w:val="en-US"/>
              </w:rPr>
            </w:pPr>
            <w:r>
              <w:rPr>
                <w:rFonts w:hint="eastAsia" w:ascii="宋体" w:hAnsi="宋体" w:cs="宋体"/>
                <w:color w:val="auto"/>
                <w:kern w:val="0"/>
                <w:sz w:val="24"/>
                <w:szCs w:val="24"/>
                <w:highlight w:val="none"/>
                <w:lang w:val="en-US" w:eastAsia="zh-CN" w:bidi="ar"/>
              </w:rPr>
              <w:t>2.产</w:t>
            </w:r>
            <w:r>
              <w:rPr>
                <w:rFonts w:hint="eastAsia" w:ascii="宋体" w:hAnsi="宋体" w:eastAsia="宋体" w:cs="宋体"/>
                <w:color w:val="auto"/>
                <w:kern w:val="0"/>
                <w:sz w:val="24"/>
                <w:szCs w:val="24"/>
                <w:highlight w:val="none"/>
                <w:lang w:val="en-US" w:eastAsia="zh-CN" w:bidi="ar"/>
              </w:rPr>
              <w:t>品总体评</w:t>
            </w:r>
            <w:r>
              <w:rPr>
                <w:rFonts w:hint="eastAsia" w:ascii="宋体" w:hAnsi="宋体" w:cs="宋体"/>
                <w:color w:val="auto"/>
                <w:kern w:val="0"/>
                <w:sz w:val="24"/>
                <w:szCs w:val="24"/>
                <w:highlight w:val="none"/>
                <w:lang w:val="en-US" w:eastAsia="zh-CN" w:bidi="ar"/>
              </w:rPr>
              <w:t>价</w:t>
            </w:r>
          </w:p>
        </w:tc>
        <w:tc>
          <w:tcPr>
            <w:tcW w:w="867" w:type="dxa"/>
            <w:noWrap w:val="0"/>
            <w:vAlign w:val="center"/>
          </w:tcPr>
          <w:p>
            <w:pPr>
              <w:keepNext w:val="0"/>
              <w:keepLines w:val="0"/>
              <w:widowControl/>
              <w:suppressLineNumbers w:val="0"/>
              <w:jc w:val="center"/>
              <w:rPr>
                <w:rFonts w:hint="eastAsia" w:ascii="宋体" w:hAnsi="宋体" w:cs="宋体"/>
                <w:b w:val="0"/>
                <w:bCs w:val="0"/>
                <w:color w:val="auto"/>
                <w:sz w:val="24"/>
                <w:highlight w:val="none"/>
              </w:rPr>
            </w:pPr>
            <w:r>
              <w:rPr>
                <w:rFonts w:ascii="宋体" w:hAnsi="宋体" w:eastAsia="宋体" w:cs="宋体"/>
                <w:color w:val="auto"/>
                <w:kern w:val="0"/>
                <w:sz w:val="24"/>
                <w:szCs w:val="24"/>
                <w:highlight w:val="none"/>
                <w:lang w:val="en-US" w:eastAsia="zh-CN" w:bidi="ar"/>
              </w:rPr>
              <w:t>3</w:t>
            </w:r>
          </w:p>
        </w:tc>
        <w:tc>
          <w:tcPr>
            <w:tcW w:w="7078" w:type="dxa"/>
            <w:noWrap w:val="0"/>
            <w:vAlign w:val="center"/>
          </w:tcPr>
          <w:p>
            <w:pPr>
              <w:keepNext w:val="0"/>
              <w:keepLines w:val="0"/>
              <w:widowControl/>
              <w:suppressLineNumbers w:val="0"/>
              <w:spacing w:line="360" w:lineRule="auto"/>
              <w:jc w:val="left"/>
              <w:rPr>
                <w:rFonts w:ascii="宋体" w:hAnsi="宋体" w:cs="宋体"/>
                <w:color w:val="auto"/>
                <w:kern w:val="0"/>
                <w:sz w:val="24"/>
                <w:highlight w:val="none"/>
                <w:lang w:bidi="ar"/>
              </w:rPr>
            </w:pPr>
            <w:r>
              <w:rPr>
                <w:rFonts w:hint="eastAsia" w:ascii="宋体" w:hAnsi="宋体" w:eastAsia="宋体" w:cs="宋体"/>
                <w:color w:val="auto"/>
                <w:kern w:val="0"/>
                <w:sz w:val="24"/>
                <w:szCs w:val="24"/>
                <w:highlight w:val="none"/>
                <w:lang w:val="en-US" w:eastAsia="zh-CN" w:bidi="ar"/>
              </w:rPr>
              <w:t>根据投标产品的选型和配置质量情况说明(包括底盘等各设满料备足部件和随器材配置等)进行综合评判打分。配置完全或优于采购要求，选型及性能比较好性能突出且提供</w:t>
            </w:r>
            <w:r>
              <w:rPr>
                <w:rFonts w:hint="eastAsia" w:ascii="宋体" w:hAnsi="宋体" w:cs="宋体"/>
                <w:color w:val="auto"/>
                <w:kern w:val="0"/>
                <w:sz w:val="24"/>
                <w:szCs w:val="24"/>
                <w:highlight w:val="none"/>
                <w:lang w:val="en-US" w:eastAsia="zh-CN" w:bidi="ar"/>
              </w:rPr>
              <w:t>材料</w:t>
            </w:r>
            <w:r>
              <w:rPr>
                <w:rFonts w:hint="eastAsia" w:ascii="宋体" w:hAnsi="宋体" w:eastAsia="宋体" w:cs="宋体"/>
                <w:color w:val="auto"/>
                <w:kern w:val="0"/>
                <w:sz w:val="24"/>
                <w:szCs w:val="24"/>
                <w:highlight w:val="none"/>
                <w:lang w:val="en-US" w:eastAsia="zh-CN" w:bidi="ar"/>
              </w:rPr>
              <w:t>齐全的得</w:t>
            </w:r>
            <w:r>
              <w:rPr>
                <w:rFonts w:hint="eastAsia" w:ascii="宋体" w:hAnsi="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val="en-US" w:eastAsia="zh-CN" w:bidi="ar"/>
              </w:rPr>
              <w:t>分，有欠缺的或者漏项的每处扣</w:t>
            </w:r>
            <w:r>
              <w:rPr>
                <w:rFonts w:hint="eastAsia" w:ascii="宋体" w:hAnsi="宋体" w:cs="宋体"/>
                <w:color w:val="auto"/>
                <w:kern w:val="0"/>
                <w:sz w:val="24"/>
                <w:szCs w:val="24"/>
                <w:highlight w:val="none"/>
                <w:lang w:val="en-US" w:eastAsia="zh-CN" w:bidi="ar"/>
              </w:rPr>
              <w:t>0.5</w:t>
            </w:r>
            <w:r>
              <w:rPr>
                <w:rFonts w:hint="eastAsia" w:ascii="宋体" w:hAnsi="宋体" w:eastAsia="宋体" w:cs="宋体"/>
                <w:color w:val="auto"/>
                <w:kern w:val="0"/>
                <w:sz w:val="24"/>
                <w:szCs w:val="24"/>
                <w:highlight w:val="none"/>
                <w:lang w:val="en-US" w:eastAsia="zh-CN" w:bidi="ar"/>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109" w:type="dxa"/>
            <w:noWrap w:val="0"/>
            <w:vAlign w:val="center"/>
          </w:tcPr>
          <w:p>
            <w:pPr>
              <w:keepNext w:val="0"/>
              <w:keepLines w:val="0"/>
              <w:widowControl/>
              <w:suppressLineNumbers w:val="0"/>
              <w:jc w:val="left"/>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3.技术培训</w:t>
            </w:r>
          </w:p>
        </w:tc>
        <w:tc>
          <w:tcPr>
            <w:tcW w:w="867" w:type="dxa"/>
            <w:noWrap w:val="0"/>
            <w:vAlign w:val="center"/>
          </w:tcPr>
          <w:p>
            <w:pPr>
              <w:keepNext w:val="0"/>
              <w:keepLines w:val="0"/>
              <w:widowControl/>
              <w:suppressLineNumbers w:val="0"/>
              <w:ind w:firstLine="240" w:firstLineChars="100"/>
              <w:jc w:val="both"/>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w:t>
            </w:r>
          </w:p>
        </w:tc>
        <w:tc>
          <w:tcPr>
            <w:tcW w:w="7078" w:type="dxa"/>
            <w:noWrap w:val="0"/>
            <w:vAlign w:val="center"/>
          </w:tcPr>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根据供应商对用户驾驶员进行操作、简单的故障识别及排除和安全知识的培训计划及承诺进行评分，培训方案应至少包活:</w:t>
            </w:r>
          </w:p>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培训时间、地点</w:t>
            </w:r>
          </w:p>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培训的主要内容(至少包含使用及日常维护内容);</w:t>
            </w:r>
          </w:p>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3、预</w:t>
            </w:r>
            <w:r>
              <w:rPr>
                <w:rFonts w:hint="eastAsia" w:ascii="宋体" w:hAnsi="宋体" w:eastAsia="宋体" w:cs="宋体"/>
                <w:color w:val="auto"/>
                <w:kern w:val="0"/>
                <w:sz w:val="24"/>
                <w:szCs w:val="24"/>
                <w:highlight w:val="none"/>
                <w:lang w:val="en-US" w:eastAsia="zh-CN" w:bidi="ar"/>
              </w:rPr>
              <w:t>期培训效果。</w:t>
            </w:r>
          </w:p>
          <w:p>
            <w:pPr>
              <w:keepNext w:val="0"/>
              <w:keepLines w:val="0"/>
              <w:widowControl/>
              <w:suppressLineNumbers w:val="0"/>
              <w:spacing w:line="360" w:lineRule="auto"/>
              <w:jc w:val="left"/>
              <w:rPr>
                <w:rFonts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以上内容每完整响应1项得1分，最多得</w:t>
            </w:r>
            <w:r>
              <w:rPr>
                <w:rFonts w:hint="eastAsia" w:ascii="宋体" w:hAnsi="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val="en-US" w:eastAsia="zh-CN" w:bidi="ar"/>
              </w:rPr>
              <w:t>分。</w:t>
            </w:r>
          </w:p>
        </w:tc>
      </w:tr>
    </w:tbl>
    <w:p>
      <w:pPr>
        <w:pStyle w:val="16"/>
        <w:spacing w:line="400" w:lineRule="exact"/>
        <w:ind w:firstLine="480"/>
        <w:rPr>
          <w:rFonts w:cs="宋体"/>
          <w:color w:val="auto"/>
          <w:highlight w:val="none"/>
        </w:rPr>
      </w:pPr>
      <w:r>
        <w:rPr>
          <w:rFonts w:hint="eastAsia" w:cs="宋体"/>
          <w:color w:val="auto"/>
          <w:highlight w:val="none"/>
        </w:rPr>
        <w:t>③商务项（F3×A3）满分为</w:t>
      </w:r>
      <w:r>
        <w:rPr>
          <w:rFonts w:hint="eastAsia" w:cs="宋体"/>
          <w:color w:val="auto"/>
          <w:highlight w:val="none"/>
          <w:u w:val="single"/>
        </w:rPr>
        <w:t>1</w:t>
      </w:r>
      <w:r>
        <w:rPr>
          <w:rFonts w:hint="eastAsia" w:cs="宋体"/>
          <w:color w:val="auto"/>
          <w:highlight w:val="none"/>
          <w:u w:val="single"/>
          <w:lang w:val="en-US" w:eastAsia="zh-CN"/>
        </w:rPr>
        <w:t>2</w:t>
      </w:r>
      <w:r>
        <w:rPr>
          <w:rFonts w:hint="eastAsia" w:cs="宋体"/>
          <w:color w:val="auto"/>
          <w:highlight w:val="none"/>
        </w:rPr>
        <w:t>分。</w:t>
      </w:r>
    </w:p>
    <w:tbl>
      <w:tblPr>
        <w:tblStyle w:val="19"/>
        <w:tblW w:w="905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7"/>
        <w:gridCol w:w="750"/>
        <w:gridCol w:w="7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jc w:val="center"/>
        </w:trPr>
        <w:tc>
          <w:tcPr>
            <w:tcW w:w="1267" w:type="dxa"/>
            <w:noWrap w:val="0"/>
            <w:vAlign w:val="center"/>
          </w:tcPr>
          <w:p>
            <w:pPr>
              <w:widowControl/>
              <w:spacing w:line="400" w:lineRule="exact"/>
              <w:jc w:val="left"/>
              <w:rPr>
                <w:rFonts w:ascii="宋体" w:hAnsi="宋体" w:cs="宋体"/>
                <w:color w:val="auto"/>
                <w:sz w:val="24"/>
                <w:highlight w:val="none"/>
              </w:rPr>
            </w:pPr>
            <w:r>
              <w:rPr>
                <w:rFonts w:hint="eastAsia" w:ascii="宋体" w:hAnsi="宋体" w:cs="宋体"/>
                <w:color w:val="auto"/>
                <w:kern w:val="0"/>
                <w:sz w:val="24"/>
                <w:highlight w:val="none"/>
              </w:rPr>
              <w:t>评标项目</w:t>
            </w:r>
          </w:p>
        </w:tc>
        <w:tc>
          <w:tcPr>
            <w:tcW w:w="750" w:type="dxa"/>
            <w:noWrap w:val="0"/>
            <w:vAlign w:val="center"/>
          </w:tcPr>
          <w:p>
            <w:pPr>
              <w:widowControl/>
              <w:spacing w:line="40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评标</w:t>
            </w:r>
          </w:p>
          <w:p>
            <w:pPr>
              <w:widowControl/>
              <w:spacing w:line="400" w:lineRule="exact"/>
              <w:jc w:val="left"/>
              <w:rPr>
                <w:rFonts w:ascii="宋体" w:hAnsi="宋体" w:cs="宋体"/>
                <w:color w:val="auto"/>
                <w:sz w:val="24"/>
                <w:highlight w:val="none"/>
              </w:rPr>
            </w:pPr>
            <w:r>
              <w:rPr>
                <w:rFonts w:hint="eastAsia" w:ascii="宋体" w:hAnsi="宋体" w:cs="宋体"/>
                <w:color w:val="auto"/>
                <w:kern w:val="0"/>
                <w:sz w:val="24"/>
                <w:highlight w:val="none"/>
              </w:rPr>
              <w:t>分值</w:t>
            </w:r>
          </w:p>
        </w:tc>
        <w:tc>
          <w:tcPr>
            <w:tcW w:w="7037" w:type="dxa"/>
            <w:noWrap w:val="0"/>
            <w:vAlign w:val="center"/>
          </w:tcPr>
          <w:p>
            <w:pPr>
              <w:widowControl/>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67" w:type="dxa"/>
            <w:noWrap w:val="0"/>
            <w:vAlign w:val="center"/>
          </w:tcPr>
          <w:p>
            <w:pPr>
              <w:widowControl/>
              <w:spacing w:line="400" w:lineRule="exact"/>
              <w:jc w:val="center"/>
              <w:rPr>
                <w:rFonts w:hint="eastAsia" w:ascii="宋体" w:hAnsi="宋体" w:cs="宋体"/>
                <w:color w:val="auto"/>
                <w:sz w:val="24"/>
                <w:highlight w:val="none"/>
              </w:rPr>
            </w:pPr>
            <w:r>
              <w:rPr>
                <w:rFonts w:hint="eastAsia" w:ascii="宋体" w:hAnsi="宋体" w:cs="宋体"/>
                <w:color w:val="auto"/>
                <w:kern w:val="0"/>
                <w:sz w:val="24"/>
                <w:highlight w:val="none"/>
              </w:rPr>
              <w:t>1.证书认证情况1</w:t>
            </w:r>
          </w:p>
        </w:tc>
        <w:tc>
          <w:tcPr>
            <w:tcW w:w="750" w:type="dxa"/>
            <w:noWrap w:val="0"/>
            <w:vAlign w:val="center"/>
          </w:tcPr>
          <w:p>
            <w:pPr>
              <w:widowControl/>
              <w:spacing w:line="400" w:lineRule="exact"/>
              <w:jc w:val="center"/>
              <w:rPr>
                <w:rFonts w:hint="eastAsia" w:ascii="宋体" w:hAnsi="宋体" w:cs="宋体"/>
                <w:color w:val="auto"/>
                <w:sz w:val="24"/>
                <w:highlight w:val="none"/>
              </w:rPr>
            </w:pPr>
            <w:r>
              <w:rPr>
                <w:rFonts w:hint="eastAsia" w:ascii="宋体" w:hAnsi="宋体" w:cs="宋体"/>
                <w:color w:val="auto"/>
                <w:kern w:val="0"/>
                <w:sz w:val="24"/>
                <w:highlight w:val="none"/>
              </w:rPr>
              <w:t>1</w:t>
            </w:r>
          </w:p>
        </w:tc>
        <w:tc>
          <w:tcPr>
            <w:tcW w:w="7037" w:type="dxa"/>
            <w:noWrap w:val="0"/>
            <w:vAlign w:val="center"/>
          </w:tcPr>
          <w:p>
            <w:pPr>
              <w:widowControl/>
              <w:spacing w:line="360" w:lineRule="auto"/>
              <w:jc w:val="left"/>
              <w:rPr>
                <w:rFonts w:ascii="宋体" w:hAnsi="宋体" w:cs="宋体"/>
                <w:color w:val="auto"/>
                <w:sz w:val="24"/>
                <w:highlight w:val="none"/>
              </w:rPr>
            </w:pPr>
            <w:r>
              <w:rPr>
                <w:rFonts w:hint="eastAsia" w:ascii="宋体" w:hAnsi="宋体" w:cs="宋体"/>
                <w:color w:val="auto"/>
                <w:kern w:val="0"/>
                <w:sz w:val="24"/>
                <w:highlight w:val="none"/>
              </w:rPr>
              <w:t>投标人或投标产品制造商</w:t>
            </w:r>
            <w:r>
              <w:rPr>
                <w:rFonts w:hint="eastAsia" w:ascii="宋体" w:hAnsi="宋体" w:cs="宋体"/>
                <w:color w:val="auto"/>
                <w:sz w:val="24"/>
                <w:highlight w:val="none"/>
              </w:rPr>
              <w:t>通过ISO9001质量管理体系认证证书得1分，</w:t>
            </w:r>
            <w:r>
              <w:rPr>
                <w:rFonts w:hint="eastAsia" w:ascii="宋体" w:hAnsi="宋体" w:cs="宋体"/>
                <w:color w:val="auto"/>
                <w:kern w:val="0"/>
                <w:sz w:val="24"/>
                <w:highlight w:val="none"/>
              </w:rPr>
              <w:t>须提供有效证书复印件并加盖投标人公章。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67" w:type="dxa"/>
            <w:noWrap w:val="0"/>
            <w:vAlign w:val="center"/>
          </w:tcPr>
          <w:p>
            <w:pPr>
              <w:widowControl/>
              <w:spacing w:line="4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2.证书认证情况2</w:t>
            </w:r>
          </w:p>
        </w:tc>
        <w:tc>
          <w:tcPr>
            <w:tcW w:w="750" w:type="dxa"/>
            <w:noWrap w:val="0"/>
            <w:vAlign w:val="center"/>
          </w:tcPr>
          <w:p>
            <w:pPr>
              <w:widowControl/>
              <w:spacing w:line="4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w:t>
            </w:r>
          </w:p>
        </w:tc>
        <w:tc>
          <w:tcPr>
            <w:tcW w:w="7037" w:type="dxa"/>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投标人或投标产品制造商</w:t>
            </w:r>
            <w:r>
              <w:rPr>
                <w:rFonts w:hint="eastAsia" w:ascii="宋体" w:hAnsi="宋体" w:cs="宋体"/>
                <w:color w:val="auto"/>
                <w:sz w:val="24"/>
                <w:highlight w:val="none"/>
              </w:rPr>
              <w:t>通过</w:t>
            </w:r>
            <w:r>
              <w:rPr>
                <w:rFonts w:hint="eastAsia" w:ascii="宋体" w:hAnsi="宋体" w:cs="宋体"/>
                <w:color w:val="auto"/>
                <w:kern w:val="0"/>
                <w:sz w:val="24"/>
                <w:highlight w:val="none"/>
              </w:rPr>
              <w:t>ISO14001</w:t>
            </w:r>
            <w:r>
              <w:rPr>
                <w:rFonts w:hint="eastAsia" w:ascii="宋体" w:hAnsi="宋体" w:cs="宋体"/>
                <w:color w:val="auto"/>
                <w:sz w:val="24"/>
                <w:highlight w:val="none"/>
              </w:rPr>
              <w:t>环境管理体系认证证书得1分 ，</w:t>
            </w:r>
            <w:r>
              <w:rPr>
                <w:rFonts w:hint="eastAsia" w:ascii="宋体" w:hAnsi="宋体" w:cs="宋体"/>
                <w:color w:val="auto"/>
                <w:kern w:val="0"/>
                <w:sz w:val="24"/>
                <w:highlight w:val="none"/>
              </w:rPr>
              <w:t>须提供有效证书复印件并加盖投标人公章。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67" w:type="dxa"/>
            <w:noWrap w:val="0"/>
            <w:vAlign w:val="center"/>
          </w:tcPr>
          <w:p>
            <w:pPr>
              <w:widowControl/>
              <w:spacing w:line="4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3.证书认证情况3</w:t>
            </w:r>
          </w:p>
        </w:tc>
        <w:tc>
          <w:tcPr>
            <w:tcW w:w="750" w:type="dxa"/>
            <w:noWrap w:val="0"/>
            <w:vAlign w:val="center"/>
          </w:tcPr>
          <w:p>
            <w:pPr>
              <w:widowControl/>
              <w:spacing w:line="4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w:t>
            </w:r>
          </w:p>
        </w:tc>
        <w:tc>
          <w:tcPr>
            <w:tcW w:w="7037" w:type="dxa"/>
            <w:noWrap w:val="0"/>
            <w:vAlign w:val="center"/>
          </w:tcPr>
          <w:p>
            <w:pPr>
              <w:widowControl/>
              <w:spacing w:line="360" w:lineRule="auto"/>
              <w:jc w:val="left"/>
              <w:rPr>
                <w:rFonts w:hint="eastAsia" w:ascii="宋体" w:hAnsi="宋体" w:cs="宋体"/>
                <w:color w:val="auto"/>
                <w:kern w:val="0"/>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rPr>
              <w:t>投标人或投标产品制造商</w:t>
            </w:r>
            <w:r>
              <w:rPr>
                <w:rFonts w:hint="eastAsia" w:ascii="宋体" w:hAnsi="宋体" w:cs="宋体"/>
                <w:color w:val="auto"/>
                <w:sz w:val="24"/>
                <w:highlight w:val="none"/>
              </w:rPr>
              <w:t>通过GB/T28001-2001职业健康安全管理体系认证得1分，</w:t>
            </w:r>
            <w:r>
              <w:rPr>
                <w:rFonts w:hint="eastAsia" w:ascii="宋体" w:hAnsi="宋体" w:cs="宋体"/>
                <w:color w:val="auto"/>
                <w:kern w:val="0"/>
                <w:sz w:val="24"/>
                <w:highlight w:val="none"/>
              </w:rPr>
              <w:t>须提供有效证书复印件并加盖投标人公章。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67" w:type="dxa"/>
            <w:noWrap w:val="0"/>
            <w:vAlign w:val="center"/>
          </w:tcPr>
          <w:p>
            <w:pPr>
              <w:widowControl/>
              <w:spacing w:line="400" w:lineRule="exact"/>
              <w:jc w:val="both"/>
              <w:rPr>
                <w:rFonts w:ascii="宋体" w:hAnsi="宋体" w:cs="宋体"/>
                <w:color w:val="auto"/>
                <w:sz w:val="24"/>
                <w:highlight w:val="none"/>
              </w:rPr>
            </w:pPr>
            <w:r>
              <w:rPr>
                <w:rFonts w:hint="eastAsia" w:ascii="宋体" w:hAnsi="宋体" w:cs="宋体"/>
                <w:color w:val="auto"/>
                <w:kern w:val="0"/>
                <w:sz w:val="24"/>
                <w:highlight w:val="none"/>
              </w:rPr>
              <w:t>4.业绩</w:t>
            </w:r>
          </w:p>
        </w:tc>
        <w:tc>
          <w:tcPr>
            <w:tcW w:w="750" w:type="dxa"/>
            <w:noWrap w:val="0"/>
            <w:vAlign w:val="center"/>
          </w:tcPr>
          <w:p>
            <w:pPr>
              <w:widowControl/>
              <w:spacing w:line="400" w:lineRule="exact"/>
              <w:jc w:val="center"/>
              <w:rPr>
                <w:rFonts w:hint="eastAsia" w:ascii="宋体" w:hAnsi="宋体" w:cs="宋体"/>
                <w:color w:val="auto"/>
                <w:sz w:val="24"/>
                <w:highlight w:val="none"/>
              </w:rPr>
            </w:pPr>
            <w:r>
              <w:rPr>
                <w:rFonts w:hint="eastAsia" w:ascii="宋体" w:hAnsi="宋体" w:cs="宋体"/>
                <w:color w:val="auto"/>
                <w:kern w:val="0"/>
                <w:sz w:val="24"/>
                <w:highlight w:val="none"/>
              </w:rPr>
              <w:t>3</w:t>
            </w:r>
          </w:p>
        </w:tc>
        <w:tc>
          <w:tcPr>
            <w:tcW w:w="7037" w:type="dxa"/>
            <w:noWrap w:val="0"/>
            <w:vAlign w:val="center"/>
          </w:tcPr>
          <w:p>
            <w:pPr>
              <w:widowControl/>
              <w:spacing w:line="360" w:lineRule="auto"/>
              <w:jc w:val="left"/>
              <w:rPr>
                <w:rFonts w:ascii="宋体" w:hAnsi="宋体" w:cs="宋体"/>
                <w:color w:val="auto"/>
                <w:sz w:val="24"/>
                <w:highlight w:val="none"/>
              </w:rPr>
            </w:pPr>
            <w:r>
              <w:rPr>
                <w:rFonts w:hint="eastAsia" w:ascii="宋体" w:hAnsi="宋体" w:cs="宋体"/>
                <w:color w:val="auto"/>
                <w:kern w:val="0"/>
                <w:sz w:val="24"/>
                <w:highlight w:val="none"/>
              </w:rPr>
              <w:t>投标人或投标产品制造商提供自</w:t>
            </w:r>
            <w:r>
              <w:rPr>
                <w:rFonts w:hint="eastAsia" w:ascii="宋体" w:hAnsi="宋体" w:cs="宋体"/>
                <w:color w:val="auto"/>
                <w:kern w:val="0"/>
                <w:sz w:val="24"/>
                <w:highlight w:val="none"/>
                <w:lang w:val="en-US" w:eastAsia="zh-CN"/>
              </w:rPr>
              <w:t>2020</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月1日以来承接过同类项目（指洒水车）销售业绩的，每提供一份同类型产品合格业绩得1分，满分3分。【提供采购合同文本复印件、中标通知书复印件，业绩缺一不可。未提供相关证明文件</w:t>
            </w:r>
            <w:r>
              <w:rPr>
                <w:rFonts w:hint="eastAsia" w:ascii="宋体" w:hAnsi="宋体" w:cs="宋体"/>
                <w:color w:val="auto"/>
                <w:sz w:val="24"/>
                <w:highlight w:val="none"/>
              </w:rPr>
              <w:t>复印件的不得分；评标过程中如发现填报不实，本项不得分。合同履行过程中发现本项有虚假者，取消其中标资格，并追究相应的法律责任和进行相应的赔偿。】（满分3分）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blCellSpacing w:w="0" w:type="dxa"/>
          <w:jc w:val="center"/>
        </w:trPr>
        <w:tc>
          <w:tcPr>
            <w:tcW w:w="1267" w:type="dxa"/>
            <w:vMerge w:val="restart"/>
            <w:noWrap w:val="0"/>
            <w:vAlign w:val="center"/>
          </w:tcPr>
          <w:p>
            <w:pPr>
              <w:widowControl/>
              <w:spacing w:line="40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5.售后</w:t>
            </w:r>
          </w:p>
          <w:p>
            <w:pPr>
              <w:widowControl/>
              <w:spacing w:line="400" w:lineRule="exact"/>
              <w:jc w:val="center"/>
              <w:rPr>
                <w:rFonts w:ascii="宋体" w:hAnsi="宋体" w:cs="宋体"/>
                <w:color w:val="auto"/>
                <w:sz w:val="24"/>
                <w:highlight w:val="none"/>
              </w:rPr>
            </w:pPr>
            <w:r>
              <w:rPr>
                <w:rFonts w:hint="eastAsia" w:ascii="宋体" w:hAnsi="宋体" w:cs="宋体"/>
                <w:color w:val="auto"/>
                <w:kern w:val="0"/>
                <w:sz w:val="24"/>
                <w:highlight w:val="none"/>
              </w:rPr>
              <w:t>服务情况</w:t>
            </w:r>
          </w:p>
        </w:tc>
        <w:tc>
          <w:tcPr>
            <w:tcW w:w="750" w:type="dxa"/>
            <w:noWrap w:val="0"/>
            <w:vAlign w:val="center"/>
          </w:tcPr>
          <w:p>
            <w:pPr>
              <w:widowControl/>
              <w:spacing w:line="40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7037" w:type="dxa"/>
            <w:noWrap w:val="0"/>
            <w:vAlign w:val="center"/>
          </w:tcPr>
          <w:p>
            <w:pPr>
              <w:widowControl/>
              <w:spacing w:line="360" w:lineRule="auto"/>
              <w:jc w:val="left"/>
              <w:rPr>
                <w:rFonts w:ascii="宋体" w:hAnsi="宋体" w:cs="宋体"/>
                <w:color w:val="auto"/>
                <w:sz w:val="24"/>
                <w:highlight w:val="none"/>
              </w:rPr>
            </w:pPr>
            <w:r>
              <w:rPr>
                <w:rFonts w:ascii="宋体" w:hAnsi="宋体" w:cs="宋体"/>
                <w:color w:val="auto"/>
                <w:sz w:val="24"/>
                <w:highlight w:val="none"/>
              </w:rPr>
              <w:t>投标人在承诺所投产品免费保修</w:t>
            </w:r>
            <w:r>
              <w:rPr>
                <w:rFonts w:hint="eastAsia" w:ascii="宋体" w:hAnsi="宋体" w:cs="宋体"/>
                <w:color w:val="auto"/>
                <w:sz w:val="24"/>
                <w:highlight w:val="none"/>
              </w:rPr>
              <w:t>2</w:t>
            </w:r>
            <w:r>
              <w:rPr>
                <w:rFonts w:ascii="宋体" w:hAnsi="宋体" w:cs="宋体"/>
                <w:color w:val="auto"/>
                <w:sz w:val="24"/>
                <w:highlight w:val="none"/>
              </w:rPr>
              <w:t>年的基础上，承诺免费保修期增加1年的得</w:t>
            </w:r>
            <w:r>
              <w:rPr>
                <w:rFonts w:hint="eastAsia" w:ascii="宋体" w:hAnsi="宋体" w:cs="宋体"/>
                <w:color w:val="auto"/>
                <w:sz w:val="24"/>
                <w:highlight w:val="none"/>
              </w:rPr>
              <w:t>1</w:t>
            </w:r>
            <w:r>
              <w:rPr>
                <w:rFonts w:ascii="宋体" w:hAnsi="宋体" w:cs="宋体"/>
                <w:color w:val="auto"/>
                <w:sz w:val="24"/>
                <w:highlight w:val="none"/>
              </w:rPr>
              <w:t>分，</w:t>
            </w:r>
            <w:r>
              <w:rPr>
                <w:rFonts w:hint="eastAsia" w:ascii="宋体" w:hAnsi="宋体" w:cs="宋体"/>
                <w:color w:val="auto"/>
                <w:sz w:val="24"/>
                <w:highlight w:val="none"/>
              </w:rPr>
              <w:t>满分3分，</w:t>
            </w:r>
            <w:r>
              <w:rPr>
                <w:rFonts w:ascii="宋体" w:hAnsi="宋体" w:cs="宋体"/>
                <w:color w:val="auto"/>
                <w:sz w:val="24"/>
                <w:highlight w:val="none"/>
              </w:rPr>
              <w:t>须提供售后服务承诺函，未提供不得分。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67" w:type="dxa"/>
            <w:vMerge w:val="continue"/>
            <w:noWrap w:val="0"/>
            <w:vAlign w:val="center"/>
          </w:tcPr>
          <w:p>
            <w:pPr>
              <w:widowControl/>
              <w:spacing w:line="400" w:lineRule="exact"/>
              <w:jc w:val="center"/>
              <w:rPr>
                <w:rFonts w:hint="eastAsia" w:ascii="宋体" w:hAnsi="宋体" w:cs="宋体"/>
                <w:color w:val="auto"/>
                <w:kern w:val="0"/>
                <w:sz w:val="24"/>
                <w:highlight w:val="none"/>
              </w:rPr>
            </w:pPr>
          </w:p>
        </w:tc>
        <w:tc>
          <w:tcPr>
            <w:tcW w:w="750" w:type="dxa"/>
            <w:noWrap w:val="0"/>
            <w:vAlign w:val="center"/>
          </w:tcPr>
          <w:p>
            <w:pPr>
              <w:widowControl/>
              <w:spacing w:line="40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7037" w:type="dxa"/>
            <w:noWrap w:val="0"/>
            <w:vAlign w:val="center"/>
          </w:tcPr>
          <w:p>
            <w:pPr>
              <w:widowControl/>
              <w:spacing w:line="360" w:lineRule="auto"/>
              <w:jc w:val="left"/>
              <w:rPr>
                <w:rFonts w:ascii="宋体" w:hAnsi="宋体" w:cs="宋体"/>
                <w:color w:val="auto"/>
                <w:sz w:val="24"/>
                <w:highlight w:val="none"/>
              </w:rPr>
            </w:pPr>
            <w:r>
              <w:rPr>
                <w:rFonts w:ascii="宋体" w:hAnsi="宋体" w:cs="宋体"/>
                <w:color w:val="auto"/>
                <w:kern w:val="0"/>
                <w:sz w:val="24"/>
                <w:highlight w:val="none"/>
                <w:lang w:bidi="ar"/>
              </w:rPr>
              <w:t>据各投标人提供的售后服务响应方案（重点阐述对招标文件要求的售后服务承诺情况、包括具体的售后服务内容、售后服务机构设置的便捷性、故障响应方式、时间，承诺维修人员到达现场时间等方面）情况由评委进行评分：售后服务承诺详尽、合理、完善，故障响应时间短，服务承诺优于招标文件要求且最有利于采购人的得3分，有提供售后服务承诺，基本满足招标文件要求的得1.5分，未做说明的不得分。</w:t>
            </w:r>
          </w:p>
        </w:tc>
      </w:tr>
    </w:tbl>
    <w:p>
      <w:pPr>
        <w:pStyle w:val="16"/>
        <w:spacing w:line="400" w:lineRule="exact"/>
        <w:ind w:firstLine="480"/>
        <w:rPr>
          <w:rFonts w:cs="宋体"/>
          <w:color w:val="auto"/>
          <w:highlight w:val="none"/>
        </w:rPr>
      </w:pPr>
      <w:r>
        <w:rPr>
          <w:rFonts w:hint="eastAsia" w:cs="宋体"/>
          <w:color w:val="auto"/>
          <w:highlight w:val="none"/>
        </w:rPr>
        <w:t>④加分项（F4×A4）</w:t>
      </w:r>
    </w:p>
    <w:p>
      <w:pPr>
        <w:pStyle w:val="16"/>
        <w:spacing w:line="400" w:lineRule="exact"/>
        <w:ind w:firstLine="480"/>
        <w:rPr>
          <w:rFonts w:cs="宋体"/>
          <w:color w:val="auto"/>
          <w:highlight w:val="none"/>
        </w:rPr>
      </w:pPr>
      <w:r>
        <w:rPr>
          <w:rFonts w:hint="eastAsia" w:cs="宋体"/>
          <w:color w:val="auto"/>
          <w:highlight w:val="none"/>
        </w:rPr>
        <w:t>a.优先类节能产品、环境标志产品：</w:t>
      </w:r>
    </w:p>
    <w:p>
      <w:pPr>
        <w:pStyle w:val="16"/>
        <w:spacing w:line="400" w:lineRule="exact"/>
        <w:ind w:firstLine="480"/>
        <w:rPr>
          <w:rFonts w:cs="宋体"/>
          <w:color w:val="auto"/>
          <w:highlight w:val="none"/>
        </w:rPr>
      </w:pPr>
      <w:r>
        <w:rPr>
          <w:rFonts w:hint="eastAsia" w:cs="宋体"/>
          <w:color w:val="auto"/>
          <w:highlight w:val="none"/>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6"/>
        <w:spacing w:line="400" w:lineRule="exact"/>
        <w:ind w:firstLine="480"/>
        <w:rPr>
          <w:rFonts w:hint="eastAsia" w:cs="宋体"/>
          <w:color w:val="auto"/>
          <w:highlight w:val="none"/>
        </w:rPr>
      </w:pPr>
      <w:r>
        <w:rPr>
          <w:rFonts w:hint="eastAsia" w:cs="宋体"/>
          <w:color w:val="auto"/>
          <w:highlight w:val="none"/>
        </w:rPr>
        <w:t xml:space="preserve">a2若节能、环境标志产品仅是构成投标产品的部件、组件或零件，则该投标产品不享受鼓励优惠政策。同一品目中各认证证书不重复计算加分。强制类节能产品不享受加分。 </w:t>
      </w:r>
    </w:p>
    <w:tbl>
      <w:tblPr>
        <w:tblStyle w:val="19"/>
        <w:tblW w:w="905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3"/>
        <w:gridCol w:w="837"/>
        <w:gridCol w:w="7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jc w:val="center"/>
        </w:trPr>
        <w:tc>
          <w:tcPr>
            <w:tcW w:w="1043" w:type="dxa"/>
            <w:noWrap w:val="0"/>
            <w:vAlign w:val="center"/>
          </w:tcPr>
          <w:p>
            <w:pPr>
              <w:widowControl/>
              <w:spacing w:line="400" w:lineRule="exact"/>
              <w:jc w:val="left"/>
              <w:rPr>
                <w:rFonts w:ascii="宋体" w:hAnsi="宋体" w:cs="宋体"/>
                <w:color w:val="auto"/>
                <w:sz w:val="24"/>
                <w:highlight w:val="none"/>
              </w:rPr>
            </w:pPr>
            <w:r>
              <w:rPr>
                <w:rFonts w:hint="eastAsia" w:ascii="宋体" w:hAnsi="宋体" w:cs="宋体"/>
                <w:color w:val="auto"/>
                <w:kern w:val="0"/>
                <w:sz w:val="24"/>
                <w:highlight w:val="none"/>
              </w:rPr>
              <w:t>评标项目</w:t>
            </w:r>
          </w:p>
        </w:tc>
        <w:tc>
          <w:tcPr>
            <w:tcW w:w="837" w:type="dxa"/>
            <w:noWrap w:val="0"/>
            <w:vAlign w:val="center"/>
          </w:tcPr>
          <w:p>
            <w:pPr>
              <w:widowControl/>
              <w:spacing w:line="400" w:lineRule="exact"/>
              <w:jc w:val="left"/>
              <w:rPr>
                <w:rFonts w:ascii="宋体" w:hAnsi="宋体" w:cs="宋体"/>
                <w:color w:val="auto"/>
                <w:sz w:val="24"/>
                <w:highlight w:val="none"/>
              </w:rPr>
            </w:pPr>
            <w:r>
              <w:rPr>
                <w:rFonts w:hint="eastAsia" w:ascii="宋体" w:hAnsi="宋体" w:cs="宋体"/>
                <w:color w:val="auto"/>
                <w:kern w:val="0"/>
                <w:sz w:val="24"/>
                <w:highlight w:val="none"/>
              </w:rPr>
              <w:t>评标分值</w:t>
            </w:r>
          </w:p>
        </w:tc>
        <w:tc>
          <w:tcPr>
            <w:tcW w:w="7174" w:type="dxa"/>
            <w:noWrap w:val="0"/>
            <w:vAlign w:val="center"/>
          </w:tcPr>
          <w:p>
            <w:pPr>
              <w:widowControl/>
              <w:spacing w:line="400" w:lineRule="exact"/>
              <w:jc w:val="left"/>
              <w:rPr>
                <w:rFonts w:ascii="宋体" w:hAnsi="宋体" w:cs="宋体"/>
                <w:color w:val="auto"/>
                <w:sz w:val="24"/>
                <w:highlight w:val="none"/>
              </w:rPr>
            </w:pPr>
            <w:r>
              <w:rPr>
                <w:rFonts w:hint="eastAsia" w:ascii="宋体" w:hAnsi="宋体" w:cs="宋体"/>
                <w:color w:val="auto"/>
                <w:kern w:val="0"/>
                <w:sz w:val="24"/>
                <w:highlight w:val="none"/>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jc w:val="center"/>
        </w:trPr>
        <w:tc>
          <w:tcPr>
            <w:tcW w:w="1043" w:type="dxa"/>
            <w:noWrap w:val="0"/>
            <w:vAlign w:val="center"/>
          </w:tcPr>
          <w:p>
            <w:pPr>
              <w:widowControl/>
              <w:spacing w:line="400" w:lineRule="exact"/>
              <w:jc w:val="left"/>
              <w:rPr>
                <w:rFonts w:ascii="宋体" w:hAnsi="宋体" w:cs="宋体"/>
                <w:color w:val="auto"/>
                <w:sz w:val="24"/>
                <w:highlight w:val="none"/>
              </w:rPr>
            </w:pPr>
            <w:r>
              <w:rPr>
                <w:rFonts w:hint="eastAsia" w:ascii="宋体" w:hAnsi="宋体" w:cs="宋体"/>
                <w:color w:val="auto"/>
                <w:kern w:val="0"/>
                <w:sz w:val="24"/>
                <w:highlight w:val="none"/>
              </w:rPr>
              <w:t>节能、减排、环境标志部分加分标准</w:t>
            </w:r>
          </w:p>
        </w:tc>
        <w:tc>
          <w:tcPr>
            <w:tcW w:w="837" w:type="dxa"/>
            <w:noWrap w:val="0"/>
            <w:vAlign w:val="center"/>
          </w:tcPr>
          <w:p>
            <w:pPr>
              <w:widowControl/>
              <w:spacing w:line="400" w:lineRule="exact"/>
              <w:jc w:val="left"/>
              <w:rPr>
                <w:rFonts w:ascii="宋体" w:hAnsi="宋体" w:cs="宋体"/>
                <w:color w:val="auto"/>
                <w:sz w:val="24"/>
                <w:highlight w:val="none"/>
              </w:rPr>
            </w:pPr>
            <w:r>
              <w:rPr>
                <w:rFonts w:hint="eastAsia" w:ascii="宋体" w:hAnsi="宋体" w:cs="宋体"/>
                <w:color w:val="auto"/>
                <w:sz w:val="24"/>
                <w:highlight w:val="none"/>
              </w:rPr>
              <w:t>7.04</w:t>
            </w:r>
          </w:p>
        </w:tc>
        <w:tc>
          <w:tcPr>
            <w:tcW w:w="7174" w:type="dxa"/>
            <w:noWrap w:val="0"/>
            <w:vAlign w:val="center"/>
          </w:tcPr>
          <w:p>
            <w:pPr>
              <w:widowControl/>
              <w:spacing w:line="400" w:lineRule="exact"/>
              <w:jc w:val="left"/>
              <w:rPr>
                <w:rFonts w:ascii="宋体" w:hAnsi="宋体" w:cs="宋体"/>
                <w:color w:val="auto"/>
                <w:sz w:val="24"/>
                <w:highlight w:val="none"/>
              </w:rPr>
            </w:pPr>
            <w:r>
              <w:rPr>
                <w:rFonts w:hint="eastAsia" w:ascii="宋体" w:hAnsi="宋体" w:cs="宋体"/>
                <w:color w:val="auto"/>
                <w:kern w:val="0"/>
                <w:sz w:val="24"/>
                <w:highlight w:val="none"/>
              </w:rPr>
              <w:t>投标人在投标文件中对所投标产品为节能、减排、环境标志产品清单中的产品（注：若节能、减排、环境标志清单内的产品仅是构成投标产品的部件、组件或零件的，则该投标产品不享受鼓励优惠政策），在投标报价时必须对此类产品单独分项报价，计算出小计及占合同号总金额的百分比（注：该分项报价表与投标书、开标一览表及投标分项报价表一起密封），并提供属于清单内产品的证明资料（从发布以上清单目录的权威媒体网站上下载的网页公告等）。未提供节能、减排、环境标志产品加分明细表及属于清单内产品的证明资料的不给予加分。（节能、减排、环境标志产品是指纳入财政部、国家发展和改革委员会最新公布的《节能产品政府采购清单》、财政部和国家环保总局联合最新1.投标人在投标文件中对所投标产品为节能、减排、环境标志产品清单中的产品，在投标报价时必须对此类产品单独分项报价，计算出小计及占合同包总金额的百分比，并提供属于清单内产品的证明资料（《节能产品政府采购清单》可从中国政府采购网 http://www.ccgp.gov.cn上下载）、《环境标志产品政府采购清单》可从中国政府采购网 http://www.ccgp.gov.cn上下载）打印件，并标明投标产品所在位置，上述证明材料均须加盖投标人公章，否则不予认可。未提供节能、减排、环境标志产品加分明细表及属于清单内产品的证明资料的不给予加分。（节能、环境标志产品是指财政部、国家发展和改革委员会最新公布的《节能产品政府采购清单》、财政部和环保部联合最新发布的《环境标志产品政府采购清单》内的产品。）中央、省出台的同类型加分因素不重复计算。 2.若同一合同包内的节能、减排、环境标志产品的产品加分只对属于清单内的非强制类产品进行加分，强制类产品不给予加分。 3.若同一合同包内的节能、减排、环境标志清单内的产品仅是构成投标产品部件、组件或零件的，则不给予加分。若节能、减排、环境标志产品仅是构成投标产品的部件、组件或零件的，则该投标产品不享受鼓励优惠政策。同一品目中各认证证书不重复计算。 4.具体优惠幅度如下： ①、若同一合同包内的节能(非强制类产品)、减排、环境标志产品报价总金额低于本合同包报价总金额20%(含20%)以下的，将分别给予节能、减排、环境标志产品价格评标项和技术评标项标准总分值4％的加分；②、若同一合同包内节能(非强制类产品)、减排、环境标志产品报价总金额占本合同包报价总金额20%-50%(含50%)的，将分别给予节能、减排、环境标志产品在价格评标项和技术评标项标准总分值6％的加分；③、若同一合同包内节能(非强制类产品)、减排、环境标志产品报价总金额占本合同包报价总金额50%以上的，将分别给予节能、减排、环境标志产品在价格评标项和技术评标项标准总分值8％的加分。</w:t>
            </w:r>
          </w:p>
        </w:tc>
      </w:tr>
    </w:tbl>
    <w:p>
      <w:pPr>
        <w:pStyle w:val="16"/>
        <w:spacing w:line="400" w:lineRule="exact"/>
        <w:ind w:firstLine="480"/>
        <w:rPr>
          <w:rFonts w:cs="宋体"/>
          <w:color w:val="auto"/>
          <w:highlight w:val="none"/>
        </w:rPr>
      </w:pPr>
      <w:r>
        <w:rPr>
          <w:rFonts w:hint="eastAsia" w:cs="宋体"/>
          <w:color w:val="auto"/>
          <w:highlight w:val="none"/>
        </w:rPr>
        <w:t xml:space="preserve">（4）中标候选人排列规则顺序如下： </w:t>
      </w:r>
    </w:p>
    <w:p>
      <w:pPr>
        <w:pStyle w:val="16"/>
        <w:spacing w:line="400" w:lineRule="exact"/>
        <w:ind w:firstLine="480"/>
        <w:rPr>
          <w:rFonts w:cs="宋体"/>
          <w:color w:val="auto"/>
          <w:highlight w:val="none"/>
        </w:rPr>
      </w:pPr>
      <w:r>
        <w:rPr>
          <w:rFonts w:hint="eastAsia" w:cs="宋体"/>
          <w:color w:val="auto"/>
          <w:highlight w:val="none"/>
        </w:rPr>
        <w:t>a.按照评标总得分（FA）由高到低顺序排列。</w:t>
      </w:r>
    </w:p>
    <w:p>
      <w:pPr>
        <w:pStyle w:val="16"/>
        <w:spacing w:line="400" w:lineRule="exact"/>
        <w:ind w:firstLine="480"/>
        <w:rPr>
          <w:rFonts w:cs="宋体"/>
          <w:color w:val="auto"/>
          <w:highlight w:val="none"/>
        </w:rPr>
      </w:pPr>
      <w:r>
        <w:rPr>
          <w:rFonts w:hint="eastAsia" w:cs="宋体"/>
          <w:color w:val="auto"/>
          <w:highlight w:val="none"/>
        </w:rPr>
        <w:t xml:space="preserve">b.评标总得分（FA）相同的，按照评标价（即价格扣除后的投标报价）由低到高顺序排列。 </w:t>
      </w:r>
    </w:p>
    <w:p>
      <w:pPr>
        <w:pStyle w:val="16"/>
        <w:keepNext w:val="0"/>
        <w:keepLines w:val="0"/>
        <w:widowControl/>
        <w:suppressLineNumbers w:val="0"/>
        <w:ind w:left="0" w:firstLine="480"/>
        <w:rPr>
          <w:color w:val="auto"/>
          <w:highlight w:val="none"/>
        </w:rPr>
      </w:pPr>
      <w:r>
        <w:rPr>
          <w:rFonts w:hint="eastAsia" w:ascii="宋体" w:hAnsi="宋体" w:cs="宋体"/>
          <w:color w:val="auto"/>
          <w:sz w:val="24"/>
          <w:highlight w:val="none"/>
        </w:rPr>
        <w:t>c.评标总得分（FA）且评标价（即价格扣除后的投标报价）相同的并列</w:t>
      </w:r>
      <w:r>
        <w:rPr>
          <w:rFonts w:hint="eastAsia" w:ascii="宋体" w:hAnsi="宋体" w:eastAsia="宋体" w:cs="宋体"/>
          <w:color w:val="auto"/>
          <w:sz w:val="24"/>
          <w:szCs w:val="24"/>
          <w:highlight w:val="none"/>
        </w:rPr>
        <w:t>。</w:t>
      </w:r>
      <w:r>
        <w:rPr>
          <w:color w:val="auto"/>
          <w:highlight w:val="none"/>
        </w:rPr>
        <w:t xml:space="preserve"> </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8、其他规定</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8.1评标应全程保密且不得透露给任一投标人或与评标工作无关的人员。</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8.2评标将进行全程实时录音录像，录音录像资料随采购文件一并存档。</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8.3若投标人有任何试图干扰具体评标事务，影响评标委员会独立履行职责的行为，其投标无效且不予退还投标保证金。情节严重的，由财政部门列入不良行为记录。</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8.4其他：</w:t>
      </w:r>
      <w:r>
        <w:rPr>
          <w:color w:val="auto"/>
          <w:spacing w:val="0"/>
          <w:sz w:val="24"/>
          <w:szCs w:val="24"/>
          <w:highlight w:val="none"/>
        </w:rPr>
        <w:t>无</w:t>
      </w: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pStyle w:val="16"/>
        <w:keepNext w:val="0"/>
        <w:keepLines w:val="0"/>
        <w:widowControl/>
        <w:suppressLineNumbers w:val="0"/>
        <w:spacing w:before="75" w:beforeAutospacing="0" w:after="75" w:afterAutospacing="0"/>
        <w:ind w:left="0" w:right="0" w:firstLine="0"/>
        <w:jc w:val="center"/>
        <w:rPr>
          <w:rStyle w:val="22"/>
          <w:rFonts w:hint="eastAsia" w:ascii="宋体" w:hAnsi="宋体" w:eastAsia="宋体" w:cs="宋体"/>
          <w:color w:val="auto"/>
          <w:spacing w:val="0"/>
          <w:sz w:val="31"/>
          <w:szCs w:val="31"/>
          <w:highlight w:val="none"/>
        </w:rPr>
      </w:pPr>
    </w:p>
    <w:p>
      <w:pPr>
        <w:rPr>
          <w:rStyle w:val="22"/>
          <w:rFonts w:hint="eastAsia" w:ascii="宋体" w:hAnsi="宋体" w:eastAsia="宋体" w:cs="宋体"/>
          <w:color w:val="auto"/>
          <w:spacing w:val="0"/>
          <w:sz w:val="31"/>
          <w:szCs w:val="31"/>
          <w:highlight w:val="none"/>
        </w:rPr>
      </w:pPr>
      <w:r>
        <w:rPr>
          <w:rStyle w:val="22"/>
          <w:rFonts w:hint="eastAsia" w:ascii="宋体" w:hAnsi="宋体" w:eastAsia="宋体" w:cs="宋体"/>
          <w:color w:val="auto"/>
          <w:spacing w:val="0"/>
          <w:sz w:val="31"/>
          <w:szCs w:val="31"/>
          <w:highlight w:val="none"/>
        </w:rPr>
        <w:br w:type="page"/>
      </w:r>
    </w:p>
    <w:p>
      <w:pPr>
        <w:rPr>
          <w:rFonts w:hint="eastAsia"/>
          <w:color w:val="auto"/>
          <w:highlight w:val="none"/>
        </w:rPr>
      </w:pP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31"/>
          <w:szCs w:val="31"/>
          <w:highlight w:val="none"/>
        </w:rPr>
        <w:t>第五章</w:t>
      </w:r>
      <w:r>
        <w:rPr>
          <w:rStyle w:val="22"/>
          <w:color w:val="auto"/>
          <w:spacing w:val="0"/>
          <w:sz w:val="31"/>
          <w:szCs w:val="31"/>
          <w:highlight w:val="none"/>
        </w:rPr>
        <w:t>   </w:t>
      </w:r>
      <w:r>
        <w:rPr>
          <w:rStyle w:val="22"/>
          <w:rFonts w:hint="eastAsia" w:ascii="宋体" w:hAnsi="宋体" w:eastAsia="宋体" w:cs="宋体"/>
          <w:color w:val="auto"/>
          <w:spacing w:val="0"/>
          <w:sz w:val="31"/>
          <w:szCs w:val="31"/>
          <w:highlight w:val="none"/>
        </w:rPr>
        <w:t>招标内容及要求</w:t>
      </w:r>
    </w:p>
    <w:p>
      <w:pPr>
        <w:pStyle w:val="16"/>
        <w:keepNext w:val="0"/>
        <w:keepLines w:val="0"/>
        <w:widowControl/>
        <w:numPr>
          <w:ilvl w:val="0"/>
          <w:numId w:val="2"/>
        </w:numPr>
        <w:suppressLineNumbers w:val="0"/>
        <w:spacing w:before="75" w:beforeAutospacing="0" w:after="75" w:afterAutospacing="0"/>
        <w:ind w:left="0" w:right="0" w:firstLine="0"/>
        <w:rPr>
          <w:b/>
          <w:bCs/>
          <w:color w:val="auto"/>
          <w:spacing w:val="0"/>
          <w:sz w:val="24"/>
          <w:szCs w:val="24"/>
          <w:highlight w:val="none"/>
        </w:rPr>
      </w:pPr>
      <w:r>
        <w:rPr>
          <w:b/>
          <w:bCs/>
          <w:color w:val="auto"/>
          <w:spacing w:val="0"/>
          <w:sz w:val="24"/>
          <w:szCs w:val="24"/>
          <w:highlight w:val="none"/>
        </w:rPr>
        <w:t>项目概况（采购标的）</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b/>
          <w:bCs/>
          <w:color w:val="auto"/>
          <w:spacing w:val="0"/>
          <w:sz w:val="24"/>
          <w:szCs w:val="24"/>
          <w:highlight w:val="none"/>
        </w:rPr>
        <w:t>二、技术和服务要求</w:t>
      </w:r>
      <w:r>
        <w:rPr>
          <w:rStyle w:val="22"/>
          <w:rFonts w:hint="eastAsia" w:ascii="宋体" w:hAnsi="宋体" w:eastAsia="宋体" w:cs="宋体"/>
          <w:b/>
          <w:bCs/>
          <w:color w:val="auto"/>
          <w:spacing w:val="0"/>
          <w:sz w:val="24"/>
          <w:szCs w:val="24"/>
          <w:highlight w:val="none"/>
        </w:rPr>
        <w:t>（以</w:t>
      </w:r>
      <w:r>
        <w:rPr>
          <w:rStyle w:val="22"/>
          <w:rFonts w:hint="eastAsia" w:ascii="宋体" w:hAnsi="宋体" w:eastAsia="宋体" w:cs="宋体"/>
          <w:color w:val="auto"/>
          <w:spacing w:val="0"/>
          <w:sz w:val="24"/>
          <w:szCs w:val="24"/>
          <w:highlight w:val="none"/>
        </w:rPr>
        <w:t>“★”标示的内容为不允许负偏离的实质性要求）</w:t>
      </w:r>
      <w:r>
        <w:rPr>
          <w:rFonts w:hint="eastAsia" w:ascii="宋体" w:hAnsi="宋体" w:cs="宋体"/>
          <w:b/>
          <w:bCs/>
          <w:color w:val="auto"/>
          <w:sz w:val="24"/>
          <w:szCs w:val="24"/>
          <w:highlight w:val="none"/>
          <w:lang w:val="en-US" w:eastAsia="zh-CN"/>
        </w:rPr>
        <w:t xml:space="preserve"> </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619" w:leftChars="-295" w:firstLine="482" w:firstLineChars="200"/>
        <w:jc w:val="left"/>
        <w:textAlignment w:val="auto"/>
        <w:rPr>
          <w:color w:val="auto"/>
          <w:highlight w:val="none"/>
        </w:rPr>
      </w:pPr>
      <w:r>
        <w:rPr>
          <w:rFonts w:hint="eastAsia" w:ascii="宋体" w:hAnsi="宋体" w:cs="Arial"/>
          <w:b/>
          <w:color w:val="auto"/>
          <w:highlight w:val="none"/>
        </w:rPr>
        <w:t xml:space="preserve"> </w:t>
      </w:r>
      <w:r>
        <w:rPr>
          <w:rStyle w:val="22"/>
          <w:rFonts w:hint="eastAsia" w:ascii="宋体" w:hAnsi="宋体" w:cs="宋体"/>
          <w:color w:val="auto"/>
          <w:highlight w:val="none"/>
          <w:shd w:val="clear" w:color="auto" w:fill="F9F9F9"/>
        </w:rPr>
        <w:t>1、质量要求：质量严格按国家相关技术规范、标准供货，确保质量合格标准。</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left"/>
        <w:textAlignment w:val="auto"/>
        <w:rPr>
          <w:rStyle w:val="22"/>
          <w:rFonts w:hint="eastAsia" w:ascii="宋体" w:hAnsi="宋体" w:cs="宋体"/>
          <w:b/>
          <w:bCs w:val="0"/>
          <w:color w:val="auto"/>
          <w:highlight w:val="none"/>
          <w:shd w:val="clear" w:color="auto" w:fill="F9F9F9"/>
        </w:rPr>
      </w:pPr>
      <w:r>
        <w:rPr>
          <w:rStyle w:val="22"/>
          <w:rFonts w:hint="eastAsia" w:ascii="宋体" w:hAnsi="宋体" w:cs="宋体"/>
          <w:b/>
          <w:bCs w:val="0"/>
          <w:color w:val="auto"/>
          <w:highlight w:val="none"/>
          <w:shd w:val="clear" w:color="auto" w:fill="F9F9F9"/>
        </w:rPr>
        <w:t>2、</w:t>
      </w:r>
      <w:r>
        <w:rPr>
          <w:rFonts w:hint="eastAsia" w:ascii="宋体" w:hAnsi="宋体"/>
          <w:b/>
          <w:bCs w:val="0"/>
          <w:color w:val="auto"/>
          <w:sz w:val="24"/>
          <w:highlight w:val="none"/>
        </w:rPr>
        <w:t>主要</w:t>
      </w:r>
      <w:r>
        <w:rPr>
          <w:rStyle w:val="22"/>
          <w:rFonts w:hint="eastAsia" w:ascii="宋体" w:hAnsi="宋体" w:cs="宋体"/>
          <w:b/>
          <w:bCs w:val="0"/>
          <w:color w:val="auto"/>
          <w:highlight w:val="none"/>
          <w:shd w:val="clear" w:color="auto" w:fill="F9F9F9"/>
        </w:rPr>
        <w:t>参数规格及要求：</w:t>
      </w:r>
    </w:p>
    <w:tbl>
      <w:tblPr>
        <w:tblStyle w:val="19"/>
        <w:tblW w:w="8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95"/>
        <w:gridCol w:w="428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widowControl/>
              <w:spacing w:line="276"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序号</w:t>
            </w:r>
          </w:p>
        </w:tc>
        <w:tc>
          <w:tcPr>
            <w:tcW w:w="2495" w:type="dxa"/>
            <w:noWrap w:val="0"/>
            <w:vAlign w:val="center"/>
          </w:tcPr>
          <w:p>
            <w:pPr>
              <w:widowControl/>
              <w:spacing w:line="276" w:lineRule="auto"/>
              <w:ind w:firstLine="482" w:firstLineChars="20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w:t>
            </w:r>
          </w:p>
        </w:tc>
        <w:tc>
          <w:tcPr>
            <w:tcW w:w="4286" w:type="dxa"/>
            <w:noWrap w:val="0"/>
            <w:vAlign w:val="center"/>
          </w:tcPr>
          <w:p>
            <w:pPr>
              <w:widowControl/>
              <w:spacing w:line="276" w:lineRule="auto"/>
              <w:ind w:firstLine="482" w:firstLineChars="20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参数要求</w:t>
            </w:r>
          </w:p>
        </w:tc>
        <w:tc>
          <w:tcPr>
            <w:tcW w:w="1332" w:type="dxa"/>
            <w:noWrap w:val="0"/>
            <w:vAlign w:val="center"/>
          </w:tcPr>
          <w:p>
            <w:pPr>
              <w:widowControl/>
              <w:spacing w:line="276" w:lineRule="auto"/>
              <w:ind w:firstLine="241" w:firstLineChars="10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495" w:type="dxa"/>
            <w:noWrap w:val="0"/>
            <w:vAlign w:val="center"/>
          </w:tcPr>
          <w:p>
            <w:pPr>
              <w:widowControl/>
              <w:spacing w:line="276"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底盘型号</w:t>
            </w:r>
          </w:p>
        </w:tc>
        <w:tc>
          <w:tcPr>
            <w:tcW w:w="4286" w:type="dxa"/>
            <w:noWrap w:val="0"/>
            <w:vAlign w:val="center"/>
          </w:tcPr>
          <w:p>
            <w:pPr>
              <w:widowControl/>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EQ1185LJ9CDE（国Ⅵ）或DFH1180EX8（国Ⅵ）或福田奥铃（国Ⅵ）同等或优于</w:t>
            </w:r>
          </w:p>
        </w:tc>
        <w:tc>
          <w:tcPr>
            <w:tcW w:w="1332" w:type="dxa"/>
            <w:vMerge w:val="restart"/>
            <w:noWrap w:val="0"/>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cs="楷体"/>
                <w:b/>
                <w:bCs/>
                <w:color w:val="auto"/>
                <w:sz w:val="24"/>
                <w:highlight w:val="none"/>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cs="楷体"/>
                <w:b/>
                <w:bCs/>
                <w:color w:val="auto"/>
                <w:sz w:val="24"/>
                <w:highlight w:val="none"/>
              </w:rPr>
            </w:pPr>
            <w:r>
              <w:rPr>
                <w:rFonts w:hint="eastAsia" w:ascii="宋体" w:hAnsi="宋体" w:cs="楷体"/>
                <w:b/>
                <w:bCs/>
                <w:color w:val="auto"/>
                <w:sz w:val="24"/>
                <w:highlight w:val="none"/>
                <w:lang w:val="en-US" w:eastAsia="zh-CN"/>
              </w:rPr>
              <w:t>1.</w:t>
            </w:r>
            <w:r>
              <w:rPr>
                <w:rFonts w:hint="eastAsia" w:ascii="宋体" w:hAnsi="宋体" w:cs="楷体"/>
                <w:b/>
                <w:bCs/>
                <w:color w:val="auto"/>
                <w:sz w:val="24"/>
                <w:highlight w:val="none"/>
                <w:lang w:eastAsia="zh-CN"/>
              </w:rPr>
              <w:t>报价人</w:t>
            </w:r>
            <w:r>
              <w:rPr>
                <w:rFonts w:hint="eastAsia" w:ascii="宋体" w:hAnsi="宋体" w:cs="楷体"/>
                <w:b/>
                <w:bCs/>
                <w:color w:val="auto"/>
                <w:sz w:val="24"/>
                <w:highlight w:val="none"/>
              </w:rPr>
              <w:t>需提供投标产品彩页，以上参数以工信部公告或产品检测报告或相关证明文件为准。</w:t>
            </w:r>
          </w:p>
          <w:p>
            <w:pPr>
              <w:pStyle w:val="2"/>
              <w:numPr>
                <w:ilvl w:val="0"/>
                <w:numId w:val="0"/>
              </w:numPr>
              <w:rPr>
                <w:rFonts w:hint="default" w:ascii="宋体" w:hAnsi="宋体" w:eastAsia="宋体" w:cs="楷体"/>
                <w:b/>
                <w:bCs/>
                <w:color w:val="auto"/>
                <w:kern w:val="2"/>
                <w:sz w:val="24"/>
                <w:szCs w:val="24"/>
                <w:highlight w:val="none"/>
                <w:lang w:val="en-US" w:eastAsia="zh-CN" w:bidi="ar-SA"/>
              </w:rPr>
            </w:pPr>
            <w:r>
              <w:rPr>
                <w:rFonts w:hint="eastAsia" w:ascii="宋体" w:hAnsi="宋体" w:eastAsia="宋体" w:cs="楷体"/>
                <w:b/>
                <w:bCs/>
                <w:color w:val="auto"/>
                <w:kern w:val="2"/>
                <w:sz w:val="24"/>
                <w:szCs w:val="24"/>
                <w:highlight w:val="none"/>
                <w:lang w:val="en-US" w:eastAsia="zh-CN" w:bidi="ar-SA"/>
              </w:rPr>
              <w:t xml:space="preserve"> 2</w:t>
            </w:r>
            <w:r>
              <w:rPr>
                <w:rFonts w:hint="eastAsia" w:ascii="宋体" w:hAnsi="宋体" w:cs="楷体"/>
                <w:b/>
                <w:bCs/>
                <w:color w:val="auto"/>
                <w:kern w:val="2"/>
                <w:sz w:val="24"/>
                <w:szCs w:val="24"/>
                <w:highlight w:val="none"/>
                <w:lang w:val="en-US" w:eastAsia="zh-CN" w:bidi="ar-SA"/>
              </w:rPr>
              <w:t>.</w:t>
            </w:r>
            <w:r>
              <w:rPr>
                <w:rFonts w:hint="eastAsia" w:ascii="宋体" w:hAnsi="宋体" w:eastAsia="宋体" w:cs="楷体"/>
                <w:b/>
                <w:bCs/>
                <w:color w:val="auto"/>
                <w:kern w:val="2"/>
                <w:sz w:val="24"/>
                <w:szCs w:val="24"/>
                <w:highlight w:val="none"/>
                <w:lang w:val="en-US" w:eastAsia="zh-CN" w:bidi="ar-SA"/>
              </w:rPr>
              <w:t xml:space="preserve">需提供投标产品的3C </w:t>
            </w:r>
            <w:r>
              <w:rPr>
                <w:rFonts w:hint="eastAsia" w:ascii="宋体" w:hAnsi="宋体" w:cs="楷体"/>
                <w:b/>
                <w:bCs/>
                <w:color w:val="auto"/>
                <w:kern w:val="2"/>
                <w:sz w:val="24"/>
                <w:szCs w:val="24"/>
                <w:highlight w:val="none"/>
                <w:lang w:val="en-US" w:eastAsia="zh-CN" w:bidi="ar-SA"/>
              </w:rPr>
              <w:t>证书并加盖投标人公章</w:t>
            </w:r>
            <w:r>
              <w:rPr>
                <w:rFonts w:hint="eastAsia" w:ascii="宋体" w:hAnsi="宋体" w:eastAsia="宋体" w:cs="楷体"/>
                <w:b/>
                <w:bCs/>
                <w:color w:val="auto"/>
                <w:kern w:val="2"/>
                <w:sz w:val="24"/>
                <w:szCs w:val="24"/>
                <w:highlight w:val="none"/>
                <w:lang w:val="en-US" w:eastAsia="zh-CN" w:bidi="ar-SA"/>
              </w:rPr>
              <w:t>。</w:t>
            </w:r>
          </w:p>
          <w:p>
            <w:pPr>
              <w:keepNext w:val="0"/>
              <w:keepLines w:val="0"/>
              <w:widowControl/>
              <w:suppressLineNumbers w:val="0"/>
              <w:jc w:val="center"/>
              <w:textAlignment w:val="center"/>
              <w:rPr>
                <w:rFonts w:hint="default" w:ascii="宋体" w:hAnsi="宋体" w:eastAsia="宋体" w:cs="宋体"/>
                <w:b/>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495" w:type="dxa"/>
            <w:noWrap w:val="0"/>
            <w:vAlign w:val="center"/>
          </w:tcPr>
          <w:p>
            <w:pPr>
              <w:widowControl/>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底盘发动机型号</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YCS04200-68同等或优于</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495" w:type="dxa"/>
            <w:noWrap w:val="0"/>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底盘发动机额定功率/转速 kW/（r/min）</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147/2300</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495" w:type="dxa"/>
            <w:noWrap w:val="0"/>
            <w:vAlign w:val="center"/>
          </w:tcPr>
          <w:p>
            <w:pPr>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底盘发动机最大净功率/转速 kW/（r/min）</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143/2300</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外型尺寸（长×宽×高）(mm)</w:t>
            </w:r>
          </w:p>
        </w:tc>
        <w:tc>
          <w:tcPr>
            <w:tcW w:w="4286" w:type="dxa"/>
            <w:noWrap w:val="0"/>
            <w:vAlign w:val="center"/>
          </w:tcPr>
          <w:p>
            <w:pPr>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7750×2500×3200</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前悬/后悬（mm）</w:t>
            </w:r>
          </w:p>
        </w:tc>
        <w:tc>
          <w:tcPr>
            <w:tcW w:w="4286" w:type="dxa"/>
            <w:noWrap w:val="0"/>
            <w:vAlign w:val="center"/>
          </w:tcPr>
          <w:p>
            <w:pPr>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1260/2540</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整备质量（kg）</w:t>
            </w:r>
          </w:p>
        </w:tc>
        <w:tc>
          <w:tcPr>
            <w:tcW w:w="4286" w:type="dxa"/>
            <w:noWrap w:val="0"/>
            <w:vAlign w:val="center"/>
          </w:tcPr>
          <w:p>
            <w:pPr>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6500</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495" w:type="dxa"/>
            <w:noWrap w:val="0"/>
            <w:vAlign w:val="center"/>
          </w:tcPr>
          <w:p>
            <w:pPr>
              <w:widowControl/>
              <w:spacing w:line="276"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额定载质量（kg）</w:t>
            </w:r>
          </w:p>
        </w:tc>
        <w:tc>
          <w:tcPr>
            <w:tcW w:w="4286" w:type="dxa"/>
            <w:noWrap w:val="0"/>
            <w:vAlign w:val="center"/>
          </w:tcPr>
          <w:p>
            <w:pPr>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11350</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2495" w:type="dxa"/>
            <w:noWrap w:val="0"/>
            <w:vAlign w:val="center"/>
          </w:tcPr>
          <w:p>
            <w:pPr>
              <w:widowControl/>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罐体最大容积（m³）</w:t>
            </w:r>
          </w:p>
        </w:tc>
        <w:tc>
          <w:tcPr>
            <w:tcW w:w="4286" w:type="dxa"/>
            <w:noWrap w:val="0"/>
            <w:vAlign w:val="center"/>
          </w:tcPr>
          <w:p>
            <w:pPr>
              <w:spacing w:line="276" w:lineRule="auto"/>
              <w:ind w:firstLine="480" w:firstLineChars="20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495" w:type="dxa"/>
            <w:noWrap w:val="0"/>
            <w:vAlign w:val="center"/>
          </w:tcPr>
          <w:p>
            <w:pPr>
              <w:widowControl/>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接近角/离去角（°）</w:t>
            </w:r>
          </w:p>
        </w:tc>
        <w:tc>
          <w:tcPr>
            <w:tcW w:w="4286" w:type="dxa"/>
            <w:noWrap w:val="0"/>
            <w:vAlign w:val="center"/>
          </w:tcPr>
          <w:p>
            <w:pPr>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 xml:space="preserve">19/18  </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总质量（kg）</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18000</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2495" w:type="dxa"/>
            <w:noWrap w:val="0"/>
            <w:vAlign w:val="center"/>
          </w:tcPr>
          <w:p>
            <w:pPr>
              <w:widowControl/>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最高行驶速度（km/h）</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≥89</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轴距（mm）</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≥3950  </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驾驶室准乘人数</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冲洗宽度（m）</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≥24  </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洒水宽度（m）</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后高喷射程（m）</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2495"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洒水泵扬程（m）</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110</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exact"/>
        </w:trPr>
        <w:tc>
          <w:tcPr>
            <w:tcW w:w="756" w:type="dxa"/>
            <w:noWrap w:val="0"/>
            <w:vAlign w:val="center"/>
          </w:tcPr>
          <w:p>
            <w:pPr>
              <w:keepNext w:val="0"/>
              <w:keepLines w:val="0"/>
              <w:widowControl/>
              <w:suppressLineNumbers w:val="0"/>
              <w:ind w:firstLine="240" w:firstLineChars="100"/>
              <w:jc w:val="both"/>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2495" w:type="dxa"/>
            <w:noWrap w:val="0"/>
            <w:vAlign w:val="center"/>
          </w:tcPr>
          <w:p>
            <w:pPr>
              <w:widowControl/>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洒水泵流量（m</w:t>
            </w:r>
            <w:r>
              <w:rPr>
                <w:rFonts w:hint="eastAsia" w:ascii="宋体" w:hAnsi="宋体" w:eastAsia="宋体" w:cs="宋体"/>
                <w:color w:val="auto"/>
                <w:sz w:val="24"/>
                <w:szCs w:val="24"/>
                <w:highlight w:val="none"/>
                <w:vertAlign w:val="superscript"/>
              </w:rPr>
              <w:t>3</w:t>
            </w:r>
            <w:r>
              <w:rPr>
                <w:rFonts w:hint="eastAsia" w:ascii="宋体" w:hAnsi="宋体" w:eastAsia="宋体" w:cs="宋体"/>
                <w:color w:val="auto"/>
                <w:sz w:val="24"/>
                <w:szCs w:val="24"/>
                <w:highlight w:val="none"/>
              </w:rPr>
              <w:t>/h）</w:t>
            </w:r>
          </w:p>
        </w:tc>
        <w:tc>
          <w:tcPr>
            <w:tcW w:w="4286" w:type="dxa"/>
            <w:noWrap w:val="0"/>
            <w:vAlign w:val="center"/>
          </w:tcPr>
          <w:p>
            <w:pPr>
              <w:widowControl/>
              <w:spacing w:line="276"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50</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56" w:type="dxa"/>
            <w:noWrap w:val="0"/>
            <w:vAlign w:val="center"/>
          </w:tcPr>
          <w:p>
            <w:pPr>
              <w:keepNext w:val="0"/>
              <w:keepLines w:val="0"/>
              <w:widowControl/>
              <w:suppressLineNumbers w:val="0"/>
              <w:jc w:val="center"/>
              <w:textAlignment w:val="center"/>
              <w:rPr>
                <w:rFonts w:hint="default" w:ascii="宋体" w:hAnsi="宋体" w:eastAsia="宋体" w:cs="宋体"/>
                <w:b/>
                <w:color w:val="auto"/>
                <w:sz w:val="24"/>
                <w:szCs w:val="24"/>
                <w:highlight w:val="none"/>
                <w:lang w:val="en-US"/>
              </w:rPr>
            </w:pPr>
            <w:r>
              <w:rPr>
                <w:rFonts w:hint="eastAsia" w:ascii="宋体" w:hAnsi="宋体" w:eastAsia="宋体" w:cs="宋体"/>
                <w:i w:val="0"/>
                <w:iCs w:val="0"/>
                <w:color w:val="auto"/>
                <w:kern w:val="0"/>
                <w:sz w:val="24"/>
                <w:szCs w:val="24"/>
                <w:highlight w:val="none"/>
                <w:u w:val="none"/>
                <w:lang w:val="en-US" w:eastAsia="zh-CN" w:bidi="ar"/>
              </w:rPr>
              <w:t>20</w:t>
            </w:r>
          </w:p>
        </w:tc>
        <w:tc>
          <w:tcPr>
            <w:tcW w:w="2495" w:type="dxa"/>
            <w:vMerge w:val="restart"/>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val="0"/>
                <w:bCs/>
                <w:color w:val="auto"/>
                <w:sz w:val="24"/>
                <w:szCs w:val="24"/>
                <w:highlight w:val="none"/>
              </w:rPr>
            </w:pPr>
          </w:p>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val="0"/>
                <w:bCs/>
                <w:color w:val="auto"/>
                <w:sz w:val="24"/>
                <w:szCs w:val="24"/>
                <w:highlight w:val="none"/>
              </w:rPr>
            </w:pPr>
          </w:p>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val="0"/>
                <w:bCs/>
                <w:color w:val="auto"/>
                <w:sz w:val="24"/>
                <w:szCs w:val="24"/>
                <w:highlight w:val="none"/>
              </w:rPr>
            </w:pPr>
          </w:p>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val="0"/>
                <w:bCs/>
                <w:color w:val="auto"/>
                <w:sz w:val="24"/>
                <w:szCs w:val="24"/>
                <w:highlight w:val="none"/>
              </w:rPr>
            </w:pPr>
          </w:p>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其它性能及要求</w:t>
            </w: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水罐为钢制焊接容器，不锈钢板制成。</w:t>
            </w:r>
          </w:p>
        </w:tc>
        <w:tc>
          <w:tcPr>
            <w:tcW w:w="1332" w:type="dxa"/>
            <w:vMerge w:val="restart"/>
            <w:noWrap w:val="0"/>
            <w:vAlign w:val="center"/>
          </w:tcPr>
          <w:p>
            <w:pPr>
              <w:keepNext w:val="0"/>
              <w:keepLines w:val="0"/>
              <w:widowControl/>
              <w:suppressLineNumbers w:val="0"/>
              <w:ind w:firstLine="482" w:firstLineChars="200"/>
              <w:jc w:val="both"/>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配置的水泵为洒水车专用汽车水泵，产品性能、质量和使用寿命优异。</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pStyle w:val="29"/>
              <w:keepNext w:val="0"/>
              <w:keepLines w:val="0"/>
              <w:pageBreakBefore w:val="0"/>
              <w:kinsoku/>
              <w:wordWrap/>
              <w:overflowPunct/>
              <w:topLinePunct w:val="0"/>
              <w:autoSpaceDE/>
              <w:autoSpaceDN/>
              <w:bidi w:val="0"/>
              <w:adjustRightInd/>
              <w:snapToGrid/>
              <w:spacing w:beforeAutospacing="0" w:afterAutospacing="0" w:line="360" w:lineRule="exact"/>
              <w:ind w:left="0" w:leftChars="0" w:firstLine="0" w:firstLineChars="0"/>
              <w:jc w:val="left"/>
              <w:textAlignment w:val="auto"/>
              <w:rPr>
                <w:rFonts w:hint="eastAsia" w:ascii="宋体" w:hAnsi="宋体" w:eastAsia="宋体" w:cs="宋体"/>
                <w:b/>
                <w:color w:val="auto"/>
                <w:sz w:val="24"/>
                <w:szCs w:val="24"/>
                <w:highlight w:val="none"/>
              </w:rPr>
            </w:pPr>
            <w:r>
              <w:rPr>
                <w:rFonts w:hint="eastAsia" w:ascii="宋体" w:hAnsi="宋体" w:eastAsia="宋体" w:cs="宋体"/>
                <w:b w:val="0"/>
                <w:bCs/>
                <w:color w:val="auto"/>
                <w:sz w:val="24"/>
                <w:szCs w:val="24"/>
                <w:highlight w:val="none"/>
              </w:rPr>
              <w:t>配备的冲水头为三弯万向鸭嘴式冲水头，可调节至任意方向，使用方便，外表面采用镀锌处理。洒水头可左右360°、上下360°任意调整,中对冲可一次冲洗宽度不小于24米。高喷枪采用国内洒水车通用型高喷枪，具有射程远、调节方便等特点。</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管路主要采用国标20号无缝焊接不锈钢，跟市场上普通洒水车采用的镀锌管相比，具有强度高、焊接性能优越、耐腐蚀，并且在低温条件下不会被冻裂的优点。另外，本洒水车在管路中设置了过滤网，过滤网设置在进泵前的管路中，过滤掉罐内水流中的杂物，防止水泵堵塞。在管路的最低处设有放水接头，在冬季时，便于把管路中的水放干净，防止冬季管路中的水冻结堵塞管路。</w:t>
            </w:r>
            <w:r>
              <w:rPr>
                <w:rFonts w:hint="eastAsia" w:ascii="宋体" w:hAnsi="宋体" w:eastAsia="宋体" w:cs="宋体"/>
                <w:b/>
                <w:bCs/>
                <w:color w:val="auto"/>
                <w:sz w:val="24"/>
                <w:szCs w:val="24"/>
                <w:highlight w:val="none"/>
              </w:rPr>
              <w:t>(管路整体为不锈钢)</w:t>
            </w:r>
          </w:p>
        </w:tc>
        <w:tc>
          <w:tcPr>
            <w:tcW w:w="1332" w:type="dxa"/>
            <w:vMerge w:val="continue"/>
            <w:noWrap w:val="0"/>
            <w:vAlign w:val="center"/>
          </w:tcPr>
          <w:p>
            <w:pPr>
              <w:keepNext w:val="0"/>
              <w:keepLines w:val="0"/>
              <w:widowControl/>
              <w:suppressLineNumbers w:val="0"/>
              <w:ind w:firstLine="482" w:firstLineChars="200"/>
              <w:jc w:val="both"/>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具有后部洒水功能，洒水喷头位于车辆尾部两侧，喷洒角度可根据路面宽度调整，水流成扇形覆盖，同时开启两个后洒喷嘴时，洒水宽度不小于14米。</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后高喷水枪。高喷水枪为铝制远射程水枪, 安装于车身后部，操纵灵活，工作角度范围大，可用于喷洗多种高度的物体，能清除一些不易清洗的环卫死角。高喷水枪可左右360°旋转、枪体可上下俯仰操作。正反拧转枪体前部的调节套管，可调节水枪的喷射形状（柱状或雾状）及关闭水枪。高喷水枪由手动球阀控制，工作中可任意开闭，射程不小于38米，还具有辅助消防功能。</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车辆具有自吸功能，配置吸水胶管。</w:t>
            </w:r>
          </w:p>
        </w:tc>
        <w:tc>
          <w:tcPr>
            <w:tcW w:w="1332" w:type="dxa"/>
            <w:vMerge w:val="continue"/>
            <w:noWrap w:val="0"/>
            <w:vAlign w:val="center"/>
          </w:tcPr>
          <w:p>
            <w:pPr>
              <w:keepNext w:val="0"/>
              <w:keepLines w:val="0"/>
              <w:widowControl/>
              <w:suppressLineNumbers w:val="0"/>
              <w:ind w:firstLine="482" w:firstLineChars="200"/>
              <w:jc w:val="both"/>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车辆尾部装置高喷及作业平台，高压水枪可以水平360°回转，上下俯仰操作，具有水柱扩散调节功能，可以改变喷枪喷出水柱的形状。</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水罐按行业标准制造，确保八年使用寿命，质保期两年，质保期内所产生的一切质量问题由中标方负责保修、包换。</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作业操作方式：车辆采用电气控制与手动控制相结合的控制模式。低压水路系统前鸭嘴装置，中部柱状冲洗装置，后洒水装置均为电动控制开和关。由驾驶室里的操作盒实现，操作盒位于中控台上。</w:t>
            </w:r>
          </w:p>
        </w:tc>
        <w:tc>
          <w:tcPr>
            <w:tcW w:w="1332" w:type="dxa"/>
            <w:vMerge w:val="continue"/>
            <w:noWrap w:val="0"/>
            <w:vAlign w:val="center"/>
          </w:tcPr>
          <w:p>
            <w:pPr>
              <w:keepNext w:val="0"/>
              <w:keepLines w:val="0"/>
              <w:widowControl/>
              <w:suppressLineNumbers w:val="0"/>
              <w:ind w:firstLine="482" w:firstLineChars="200"/>
              <w:jc w:val="both"/>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配置方向助力、配原厂冷暖空调、钢丝轮胎（1000R20 18PR）。</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车身做漆方案，所投车辆的车漆必须按采购人要求进行喷图，必须是原厂车漆，采购人不接受出厂后改装的车漆。</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车辆需配置GPS定位系统，行车记录仪，前后左右影像摄像头，摄像头必须是高清。</w:t>
            </w:r>
          </w:p>
        </w:tc>
        <w:tc>
          <w:tcPr>
            <w:tcW w:w="1332" w:type="dxa"/>
            <w:vMerge w:val="continue"/>
            <w:noWrap w:val="0"/>
            <w:vAlign w:val="center"/>
          </w:tcPr>
          <w:p>
            <w:pPr>
              <w:keepNext w:val="0"/>
              <w:keepLines w:val="0"/>
              <w:widowControl/>
              <w:suppressLineNumbers w:val="0"/>
              <w:ind w:firstLine="482" w:firstLineChars="200"/>
              <w:jc w:val="both"/>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b/>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车辆尾部需配备一对箭头示廓灯，以便车辆作业时起警示作用提醒后车注意安全。</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34</w:t>
            </w:r>
          </w:p>
        </w:tc>
        <w:tc>
          <w:tcPr>
            <w:tcW w:w="2495" w:type="dxa"/>
            <w:vMerge w:val="continue"/>
            <w:noWrap w:val="0"/>
            <w:vAlign w:val="top"/>
          </w:tcPr>
          <w:p>
            <w:pPr>
              <w:pStyle w:val="30"/>
              <w:keepNext w:val="0"/>
              <w:keepLines w:val="0"/>
              <w:pageBreakBefore w:val="0"/>
              <w:kinsoku/>
              <w:wordWrap/>
              <w:overflowPunct/>
              <w:topLinePunct w:val="0"/>
              <w:autoSpaceDE/>
              <w:autoSpaceDN/>
              <w:bidi w:val="0"/>
              <w:adjustRightInd/>
              <w:snapToGrid/>
              <w:spacing w:line="360" w:lineRule="exact"/>
              <w:ind w:firstLine="380" w:firstLineChars="0"/>
              <w:jc w:val="center"/>
              <w:rPr>
                <w:rFonts w:hint="eastAsia" w:ascii="宋体" w:hAnsi="宋体" w:eastAsia="宋体" w:cs="宋体"/>
                <w:b/>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产品需确保能在当地上牌并可以免征购置附加税。</w:t>
            </w:r>
          </w:p>
        </w:tc>
        <w:tc>
          <w:tcPr>
            <w:tcW w:w="1332" w:type="dxa"/>
            <w:vMerge w:val="continue"/>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default" w:ascii="宋体" w:hAnsi="宋体" w:eastAsia="宋体" w:cs="宋体"/>
                <w:b/>
                <w:color w:val="auto"/>
                <w:sz w:val="24"/>
                <w:szCs w:val="24"/>
                <w:highlight w:val="none"/>
                <w:lang w:val="en-US"/>
              </w:rPr>
            </w:pPr>
            <w:r>
              <w:rPr>
                <w:rFonts w:hint="eastAsia" w:ascii="宋体" w:hAnsi="宋体" w:eastAsia="宋体" w:cs="宋体"/>
                <w:i w:val="0"/>
                <w:iCs w:val="0"/>
                <w:color w:val="auto"/>
                <w:kern w:val="0"/>
                <w:sz w:val="24"/>
                <w:szCs w:val="24"/>
                <w:highlight w:val="none"/>
                <w:u w:val="none"/>
                <w:lang w:val="en-US" w:eastAsia="zh-CN" w:bidi="ar"/>
              </w:rPr>
              <w:t>3</w:t>
            </w:r>
            <w:r>
              <w:rPr>
                <w:rFonts w:hint="eastAsia" w:ascii="宋体" w:hAnsi="宋体" w:cs="宋体"/>
                <w:i w:val="0"/>
                <w:iCs w:val="0"/>
                <w:color w:val="auto"/>
                <w:kern w:val="0"/>
                <w:sz w:val="24"/>
                <w:szCs w:val="24"/>
                <w:highlight w:val="none"/>
                <w:u w:val="none"/>
                <w:lang w:val="en-US" w:eastAsia="zh-CN" w:bidi="ar"/>
              </w:rPr>
              <w:t>5</w:t>
            </w:r>
          </w:p>
        </w:tc>
        <w:tc>
          <w:tcPr>
            <w:tcW w:w="2495" w:type="dxa"/>
            <w:vMerge w:val="restart"/>
            <w:noWrap w:val="0"/>
            <w:vAlign w:val="top"/>
          </w:tcPr>
          <w:p>
            <w:pPr>
              <w:pStyle w:val="30"/>
              <w:spacing w:after="150"/>
              <w:ind w:firstLine="380" w:firstLineChars="0"/>
              <w:jc w:val="center"/>
              <w:rPr>
                <w:rFonts w:hint="eastAsia" w:ascii="宋体" w:hAnsi="宋体" w:eastAsia="宋体" w:cs="宋体"/>
                <w:color w:val="auto"/>
                <w:sz w:val="24"/>
                <w:szCs w:val="24"/>
                <w:highlight w:val="none"/>
              </w:rPr>
            </w:pPr>
          </w:p>
          <w:p>
            <w:pPr>
              <w:pStyle w:val="30"/>
              <w:spacing w:after="150"/>
              <w:ind w:firstLine="672" w:firstLineChars="280"/>
              <w:jc w:val="both"/>
              <w:rPr>
                <w:rFonts w:hint="eastAsia" w:ascii="宋体" w:hAnsi="宋体" w:eastAsia="宋体" w:cs="宋体"/>
                <w:color w:val="auto"/>
                <w:sz w:val="24"/>
                <w:szCs w:val="24"/>
                <w:highlight w:val="none"/>
              </w:rPr>
            </w:pPr>
          </w:p>
          <w:p>
            <w:pPr>
              <w:pStyle w:val="30"/>
              <w:spacing w:after="150"/>
              <w:ind w:firstLine="672" w:firstLineChars="280"/>
              <w:jc w:val="both"/>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主要功能</w:t>
            </w: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150" w:afterAutospacing="0" w:line="46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对路边或路中绿化带进行浇灌；对树木、苗圃进行喷洗、养护；</w:t>
            </w:r>
          </w:p>
        </w:tc>
        <w:tc>
          <w:tcPr>
            <w:tcW w:w="1332" w:type="dxa"/>
            <w:noWrap w:val="0"/>
            <w:vAlign w:val="center"/>
          </w:tcPr>
          <w:p>
            <w:pPr>
              <w:keepNext w:val="0"/>
              <w:keepLines w:val="0"/>
              <w:widowControl/>
              <w:suppressLineNumbers w:val="0"/>
              <w:ind w:firstLine="482" w:firstLineChars="200"/>
              <w:jc w:val="both"/>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36</w:t>
            </w:r>
          </w:p>
        </w:tc>
        <w:tc>
          <w:tcPr>
            <w:tcW w:w="2495" w:type="dxa"/>
            <w:vMerge w:val="continue"/>
            <w:noWrap w:val="0"/>
            <w:vAlign w:val="top"/>
          </w:tcPr>
          <w:p>
            <w:pPr>
              <w:pStyle w:val="30"/>
              <w:spacing w:after="150"/>
              <w:ind w:firstLine="672" w:firstLineChars="280"/>
              <w:jc w:val="both"/>
              <w:rPr>
                <w:rFonts w:hint="eastAsia" w:ascii="宋体" w:hAnsi="宋体" w:eastAsia="宋体" w:cs="宋体"/>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15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运输功能；应急消防；</w:t>
            </w:r>
          </w:p>
        </w:tc>
        <w:tc>
          <w:tcPr>
            <w:tcW w:w="1332" w:type="dxa"/>
            <w:noWrap w:val="0"/>
            <w:vAlign w:val="center"/>
          </w:tcPr>
          <w:p>
            <w:pPr>
              <w:keepNext w:val="0"/>
              <w:keepLines w:val="0"/>
              <w:widowControl/>
              <w:suppressLineNumbers w:val="0"/>
              <w:ind w:firstLine="482" w:firstLineChars="200"/>
              <w:jc w:val="both"/>
              <w:textAlignment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dxa"/>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37</w:t>
            </w:r>
          </w:p>
        </w:tc>
        <w:tc>
          <w:tcPr>
            <w:tcW w:w="2495" w:type="dxa"/>
            <w:vMerge w:val="continue"/>
            <w:noWrap w:val="0"/>
            <w:vAlign w:val="top"/>
          </w:tcPr>
          <w:p>
            <w:pPr>
              <w:pStyle w:val="30"/>
              <w:spacing w:after="150"/>
              <w:ind w:firstLine="672" w:firstLineChars="280"/>
              <w:jc w:val="both"/>
              <w:rPr>
                <w:rFonts w:hint="eastAsia" w:ascii="宋体" w:hAnsi="宋体" w:eastAsia="宋体" w:cs="宋体"/>
                <w:color w:val="auto"/>
                <w:sz w:val="24"/>
                <w:szCs w:val="24"/>
                <w:highlight w:val="none"/>
              </w:rPr>
            </w:pPr>
          </w:p>
        </w:tc>
        <w:tc>
          <w:tcPr>
            <w:tcW w:w="4286" w:type="dxa"/>
            <w:noWrap w:val="0"/>
            <w:vAlign w:val="top"/>
          </w:tcPr>
          <w:p>
            <w:pPr>
              <w:keepNext w:val="0"/>
              <w:keepLines w:val="0"/>
              <w:pageBreakBefore w:val="0"/>
              <w:kinsoku/>
              <w:wordWrap/>
              <w:overflowPunct/>
              <w:topLinePunct w:val="0"/>
              <w:autoSpaceDE/>
              <w:autoSpaceDN/>
              <w:bidi w:val="0"/>
              <w:adjustRightInd/>
              <w:snapToGrid/>
              <w:spacing w:beforeAutospacing="0" w:after="15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选装喷雾系统还有喷雾降尘，净化空气的作用；冲洗马路牙；冲洗隔离桩功能。</w:t>
            </w:r>
          </w:p>
        </w:tc>
        <w:tc>
          <w:tcPr>
            <w:tcW w:w="1332" w:type="dxa"/>
            <w:noWrap w:val="0"/>
            <w:vAlign w:val="center"/>
          </w:tcPr>
          <w:p>
            <w:pPr>
              <w:keepNext w:val="0"/>
              <w:keepLines w:val="0"/>
              <w:widowControl/>
              <w:suppressLineNumbers w:val="0"/>
              <w:ind w:firstLine="482" w:firstLineChars="200"/>
              <w:jc w:val="both"/>
              <w:textAlignment w:val="center"/>
              <w:rPr>
                <w:rFonts w:hint="eastAsia" w:ascii="宋体" w:hAnsi="宋体" w:eastAsia="宋体" w:cs="宋体"/>
                <w:b/>
                <w:bCs/>
                <w:color w:val="auto"/>
                <w:sz w:val="24"/>
                <w:szCs w:val="24"/>
                <w:highlight w:val="none"/>
              </w:rPr>
            </w:pPr>
          </w:p>
        </w:tc>
      </w:tr>
    </w:tbl>
    <w:p>
      <w:pPr>
        <w:spacing w:line="400" w:lineRule="exact"/>
        <w:rPr>
          <w:rFonts w:hint="eastAsia" w:ascii="宋体" w:hAnsi="宋体" w:cs="宋体"/>
          <w:b/>
          <w:bCs/>
          <w:color w:val="auto"/>
          <w:spacing w:val="0"/>
          <w:sz w:val="24"/>
          <w:szCs w:val="24"/>
          <w:highlight w:val="none"/>
          <w:lang w:val="en-US" w:eastAsia="zh-CN"/>
        </w:rPr>
      </w:pPr>
    </w:p>
    <w:p>
      <w:pPr>
        <w:spacing w:line="400" w:lineRule="exact"/>
        <w:rPr>
          <w:rFonts w:hint="eastAsia" w:ascii="宋体" w:hAnsi="宋体" w:cs="宋体"/>
          <w:b/>
          <w:bCs/>
          <w:color w:val="auto"/>
          <w:kern w:val="0"/>
          <w:sz w:val="24"/>
          <w:highlight w:val="none"/>
        </w:rPr>
      </w:pPr>
      <w:r>
        <w:rPr>
          <w:rFonts w:hint="eastAsia" w:ascii="宋体" w:hAnsi="宋体" w:cs="宋体"/>
          <w:b/>
          <w:bCs/>
          <w:color w:val="auto"/>
          <w:spacing w:val="0"/>
          <w:sz w:val="24"/>
          <w:szCs w:val="24"/>
          <w:highlight w:val="none"/>
          <w:lang w:val="en-US" w:eastAsia="zh-CN"/>
        </w:rPr>
        <w:t>3、</w:t>
      </w:r>
      <w:r>
        <w:rPr>
          <w:rFonts w:hint="eastAsia" w:ascii="宋体" w:hAnsi="宋体" w:cs="宋体"/>
          <w:b/>
          <w:bCs/>
          <w:color w:val="auto"/>
          <w:kern w:val="0"/>
          <w:sz w:val="24"/>
          <w:highlight w:val="none"/>
        </w:rPr>
        <w:t>与本批招标项目的相关要求</w:t>
      </w:r>
    </w:p>
    <w:p>
      <w:pPr>
        <w:spacing w:line="400" w:lineRule="exact"/>
        <w:ind w:firstLine="480" w:firstLineChars="200"/>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1.本批招标应按合同包投标，投标人可以对一个或全部合同进行投标，但不得将合同包中的部分内容进行拆分投标或漏项投标，拆分投标或漏项投标无效。投标人必须列明所投项目的每一单项的单价、小计和总计。</w:t>
      </w:r>
    </w:p>
    <w:p>
      <w:pPr>
        <w:spacing w:line="460" w:lineRule="exact"/>
        <w:ind w:firstLine="361" w:firstLineChars="150"/>
        <w:jc w:val="left"/>
        <w:rPr>
          <w:rFonts w:hint="eastAsia" w:ascii="宋体"/>
          <w:b/>
          <w:color w:val="auto"/>
          <w:sz w:val="24"/>
          <w:highlight w:val="none"/>
        </w:rPr>
      </w:pPr>
      <w:r>
        <w:rPr>
          <w:rStyle w:val="22"/>
          <w:rFonts w:hint="eastAsia" w:ascii="宋体" w:hAnsi="宋体" w:cs="宋体"/>
          <w:color w:val="auto"/>
          <w:sz w:val="24"/>
          <w:highlight w:val="none"/>
        </w:rPr>
        <w:t>★</w:t>
      </w:r>
      <w:r>
        <w:rPr>
          <w:rStyle w:val="22"/>
          <w:rFonts w:hint="eastAsia" w:ascii="宋体" w:hAnsi="宋体" w:cs="宋体"/>
          <w:color w:val="auto"/>
          <w:sz w:val="24"/>
          <w:highlight w:val="none"/>
          <w:lang w:val="en-US" w:eastAsia="zh-CN"/>
        </w:rPr>
        <w:t>3.</w:t>
      </w:r>
      <w:r>
        <w:rPr>
          <w:rFonts w:hint="eastAsia" w:ascii="宋体" w:hAnsi="宋体"/>
          <w:bCs/>
          <w:color w:val="auto"/>
          <w:sz w:val="24"/>
          <w:highlight w:val="none"/>
        </w:rPr>
        <w:t>2.</w:t>
      </w:r>
      <w:r>
        <w:rPr>
          <w:rFonts w:hint="eastAsia" w:ascii="宋体" w:hAnsi="宋体"/>
          <w:b/>
          <w:bCs/>
          <w:color w:val="auto"/>
          <w:kern w:val="0"/>
          <w:sz w:val="24"/>
          <w:highlight w:val="none"/>
        </w:rPr>
        <w:t>本项目为交钥匙工程，报价为货物送达采购人指定地点，经采购人验收合格并交货完毕后所有可能发生的费用。</w:t>
      </w:r>
      <w:r>
        <w:rPr>
          <w:rFonts w:hint="eastAsia" w:ascii="宋体" w:hAnsi="宋体" w:cs="宋体"/>
          <w:b/>
          <w:bCs/>
          <w:color w:val="auto"/>
          <w:sz w:val="24"/>
          <w:highlight w:val="none"/>
        </w:rPr>
        <w:t>投标人的报价应包含单价和总价。响应总价应为货物送达采购人指定地点、经采购人验收合格并交付使用及售后服务等所有可能发生的费用，包括货物制造、运输、采购保管、安装调试、国家法定送检的检验检测报告费用、上岛费、车辆购置税、车辆上牌费用、车辆保险费（含强制险、车损险、第三者险150万、车上人员每座5万、玻璃险）、税收、厂家同期相关的无偿（有价）的促销、售后服务等费用。投标报价保留小数点后两位。投标人所投设备必须是成套设备，用户不需要增购其他设备（配件）即可正常使用。</w:t>
      </w:r>
    </w:p>
    <w:p>
      <w:pPr>
        <w:spacing w:line="400" w:lineRule="exact"/>
        <w:ind w:firstLine="480" w:firstLineChars="200"/>
        <w:rPr>
          <w:rFonts w:hint="eastAsia" w:ascii="宋体" w:hAnsi="宋体"/>
          <w:bCs/>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3.</w:t>
      </w:r>
      <w:r>
        <w:rPr>
          <w:rFonts w:hint="eastAsia" w:ascii="宋体" w:hAnsi="宋体"/>
          <w:bCs/>
          <w:color w:val="auto"/>
          <w:sz w:val="24"/>
          <w:highlight w:val="none"/>
        </w:rPr>
        <w:t>3.投标人提供的产品的制造标准、安装标准及技术规范等必须符合相应的国家标准，行业标准及规范要求。</w:t>
      </w:r>
    </w:p>
    <w:p>
      <w:pPr>
        <w:spacing w:line="400" w:lineRule="exact"/>
        <w:ind w:firstLine="600" w:firstLineChars="250"/>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4.</w:t>
      </w:r>
      <w:r>
        <w:rPr>
          <w:rFonts w:hint="eastAsia" w:ascii="宋体" w:hAnsi="宋体"/>
          <w:color w:val="auto"/>
          <w:sz w:val="24"/>
          <w:highlight w:val="none"/>
        </w:rPr>
        <w:t>投标人提供的设备及材料等，应保证设备及材料等手续的合法性，在交货、安装或验收时中标人应提供所有设备及材料的全部合法证明材料（如：产品合格证、许可证、安全认证证书、检验报告、产地证明、装箱单以及技术参数说明等资料）。</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5</w:t>
      </w:r>
      <w:r>
        <w:rPr>
          <w:rFonts w:ascii="宋体" w:hAnsi="宋体"/>
          <w:color w:val="auto"/>
          <w:sz w:val="24"/>
          <w:highlight w:val="none"/>
        </w:rPr>
        <w:t>.</w:t>
      </w:r>
      <w:r>
        <w:rPr>
          <w:rFonts w:hint="eastAsia" w:ascii="宋体" w:hAnsi="宋体"/>
          <w:color w:val="auto"/>
          <w:sz w:val="24"/>
          <w:highlight w:val="none"/>
        </w:rPr>
        <w:t>投标人认为有利于招标人的招标要求之外的优惠条款应单独列明。</w:t>
      </w:r>
    </w:p>
    <w:p>
      <w:pPr>
        <w:spacing w:line="360" w:lineRule="auto"/>
        <w:ind w:firstLine="482" w:firstLineChars="200"/>
        <w:jc w:val="left"/>
        <w:rPr>
          <w:rFonts w:ascii="宋体" w:hAnsi="宋体"/>
          <w:b/>
          <w:bCs/>
          <w:color w:val="auto"/>
          <w:sz w:val="24"/>
          <w:highlight w:val="none"/>
        </w:rPr>
      </w:pPr>
      <w:r>
        <w:rPr>
          <w:rFonts w:hint="eastAsia" w:ascii="宋体" w:hAnsi="宋体"/>
          <w:b/>
          <w:bCs/>
          <w:color w:val="auto"/>
          <w:sz w:val="24"/>
          <w:highlight w:val="none"/>
          <w:lang w:val="en-US" w:eastAsia="zh-CN"/>
        </w:rPr>
        <w:t>3.</w:t>
      </w:r>
      <w:r>
        <w:rPr>
          <w:rFonts w:hint="eastAsia" w:ascii="宋体" w:hAnsi="宋体"/>
          <w:b/>
          <w:bCs/>
          <w:color w:val="auto"/>
          <w:sz w:val="24"/>
          <w:highlight w:val="none"/>
        </w:rPr>
        <w:t>6.本项目需求中所出现品牌仅为方便描述而没有限制性，供应商可以在其提供的文件资料中选用替代标准，但这些替代标准必须优于或相当于本用户需求书的标准。</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7.投标人所提供的产品技术参数必须满足或优于招标文件的要求。</w:t>
      </w:r>
    </w:p>
    <w:p>
      <w:pPr>
        <w:spacing w:line="360" w:lineRule="auto"/>
        <w:ind w:firstLine="480" w:firstLineChars="200"/>
        <w:jc w:val="left"/>
        <w:rPr>
          <w:rFonts w:hint="eastAsia" w:ascii="宋体" w:hAnsi="宋体" w:eastAsia="宋体" w:cs="宋体"/>
          <w:b/>
          <w:bCs/>
          <w:color w:val="auto"/>
          <w:spacing w:val="0"/>
          <w:sz w:val="24"/>
          <w:szCs w:val="24"/>
          <w:highlight w:val="none"/>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8.标的的重量、尺寸、体积等有固定数值的可在±</w:t>
      </w:r>
      <w:r>
        <w:rPr>
          <w:rFonts w:ascii="宋体" w:hAnsi="宋体" w:cs="宋体"/>
          <w:color w:val="auto"/>
          <w:kern w:val="0"/>
          <w:sz w:val="24"/>
          <w:highlight w:val="none"/>
        </w:rPr>
        <w:t>1%</w:t>
      </w:r>
      <w:r>
        <w:rPr>
          <w:rFonts w:hint="eastAsia" w:ascii="宋体" w:hAnsi="宋体" w:cs="宋体"/>
          <w:color w:val="auto"/>
          <w:kern w:val="0"/>
          <w:sz w:val="24"/>
          <w:highlight w:val="none"/>
        </w:rPr>
        <w:t>之内偏差。</w:t>
      </w: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b/>
          <w:bCs/>
          <w:color w:val="auto"/>
          <w:spacing w:val="0"/>
          <w:sz w:val="24"/>
          <w:szCs w:val="24"/>
          <w:highlight w:val="none"/>
        </w:rPr>
      </w:pP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b/>
          <w:bCs/>
          <w:color w:val="auto"/>
          <w:spacing w:val="0"/>
          <w:sz w:val="24"/>
          <w:szCs w:val="24"/>
          <w:highlight w:val="none"/>
        </w:rPr>
        <w:t>三、商务条件</w:t>
      </w:r>
      <w:r>
        <w:rPr>
          <w:rStyle w:val="22"/>
          <w:rFonts w:hint="eastAsia" w:ascii="宋体" w:hAnsi="宋体" w:eastAsia="宋体" w:cs="宋体"/>
          <w:b/>
          <w:bCs/>
          <w:color w:val="auto"/>
          <w:spacing w:val="0"/>
          <w:sz w:val="24"/>
          <w:szCs w:val="24"/>
          <w:highlight w:val="none"/>
        </w:rPr>
        <w:t>（以“</w:t>
      </w:r>
      <w:r>
        <w:rPr>
          <w:rStyle w:val="22"/>
          <w:rFonts w:hint="eastAsia" w:ascii="宋体" w:hAnsi="宋体" w:eastAsia="宋体" w:cs="宋体"/>
          <w:color w:val="auto"/>
          <w:spacing w:val="0"/>
          <w:sz w:val="24"/>
          <w:szCs w:val="24"/>
          <w:highlight w:val="none"/>
        </w:rPr>
        <w:t>★”标示的内容为不允许负偏离的实质性要求）</w:t>
      </w:r>
    </w:p>
    <w:p>
      <w:pPr>
        <w:pStyle w:val="16"/>
        <w:keepNext w:val="0"/>
        <w:keepLines w:val="0"/>
        <w:widowControl/>
        <w:suppressLineNumbers w:val="0"/>
        <w:spacing w:before="75" w:beforeAutospacing="0" w:after="75" w:afterAutospacing="0"/>
        <w:ind w:left="0" w:right="0" w:firstLine="0"/>
        <w:rPr>
          <w:rStyle w:val="22"/>
          <w:rFonts w:hint="eastAsia" w:ascii="宋体" w:hAnsi="宋体" w:eastAsia="宋体" w:cs="宋体"/>
          <w:color w:val="auto"/>
          <w:spacing w:val="0"/>
          <w:sz w:val="24"/>
          <w:szCs w:val="24"/>
          <w:highlight w:val="none"/>
          <w:lang w:eastAsia="zh-CN"/>
        </w:rPr>
      </w:pPr>
      <w:r>
        <w:rPr>
          <w:rStyle w:val="22"/>
          <w:rFonts w:hint="eastAsia" w:ascii="宋体" w:hAnsi="宋体" w:eastAsia="宋体" w:cs="宋体"/>
          <w:color w:val="auto"/>
          <w:spacing w:val="0"/>
          <w:sz w:val="24"/>
          <w:szCs w:val="24"/>
          <w:highlight w:val="none"/>
        </w:rPr>
        <w:t>包：1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1、交付地点：福建省莆田市采购人指定地点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2、服务期限</w:t>
      </w:r>
      <w:r>
        <w:rPr>
          <w:rFonts w:hint="eastAsia" w:ascii="宋体" w:hAnsi="宋体" w:eastAsia="宋体" w:cs="宋体"/>
          <w:b/>
          <w:bCs/>
          <w:color w:val="auto"/>
          <w:sz w:val="24"/>
          <w:szCs w:val="24"/>
          <w:highlight w:val="none"/>
          <w:lang w:eastAsia="zh-CN"/>
        </w:rPr>
        <w:t>：合同签订后45个日历日内全部安装调试完毕、验收合格并交付使用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3、交付条件：按照招标文件</w:t>
      </w:r>
      <w:r>
        <w:rPr>
          <w:rFonts w:hint="eastAsia" w:ascii="宋体" w:hAnsi="宋体" w:eastAsia="宋体" w:cs="宋体"/>
          <w:b/>
          <w:bCs/>
          <w:color w:val="auto"/>
          <w:sz w:val="24"/>
          <w:szCs w:val="24"/>
          <w:highlight w:val="none"/>
        </w:rPr>
        <w:br w:type="textWrapping"/>
      </w:r>
      <w:r>
        <w:rPr>
          <w:rFonts w:hint="eastAsia" w:ascii="宋体" w:hAnsi="宋体" w:eastAsia="宋体" w:cs="宋体"/>
          <w:b/>
          <w:bCs/>
          <w:color w:val="auto"/>
          <w:sz w:val="24"/>
          <w:szCs w:val="24"/>
          <w:highlight w:val="none"/>
        </w:rPr>
        <w:t>4、是否收取履约保证金：</w:t>
      </w:r>
      <w:r>
        <w:rPr>
          <w:rStyle w:val="22"/>
          <w:rFonts w:hint="eastAsia" w:cs="宋体"/>
          <w:color w:val="auto"/>
          <w:sz w:val="24"/>
          <w:highlight w:val="none"/>
        </w:rPr>
        <w:t>是，</w:t>
      </w:r>
      <w:r>
        <w:rPr>
          <w:rFonts w:hint="eastAsia" w:ascii="宋体" w:hAnsi="宋体" w:cs="宋体"/>
          <w:b/>
          <w:bCs/>
          <w:color w:val="auto"/>
          <w:sz w:val="24"/>
          <w:highlight w:val="none"/>
        </w:rPr>
        <w:t xml:space="preserve"> 中标后10个工作日内，在签订合同前需以银行转账、银行电汇、银行汇票或银行保函形式向招标人交纳合同总价5%的履约保证金，履约保证金待项目验收合格后一次性退还中标投标人（不计息）</w:t>
      </w:r>
      <w:r>
        <w:rPr>
          <w:rFonts w:hint="eastAsia" w:ascii="宋体" w:hAnsi="宋体" w:cs="宋体"/>
          <w:b/>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5、是否邀请投标人参与验收：否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6、验收方式数据表格 </w:t>
      </w:r>
    </w:p>
    <w:tbl>
      <w:tblPr>
        <w:tblStyle w:val="19"/>
        <w:tblW w:w="9227"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303"/>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1303" w:type="dxa"/>
            <w:shd w:val="clear" w:color="auto" w:fill="auto"/>
            <w:vAlign w:val="center"/>
          </w:tcPr>
          <w:p>
            <w:pPr>
              <w:keepNext w:val="0"/>
              <w:keepLines w:val="0"/>
              <w:widowControl/>
              <w:suppressLineNumbers w:val="0"/>
              <w:jc w:val="center"/>
              <w:rPr>
                <w:color w:val="auto"/>
                <w:highlight w:val="none"/>
              </w:rPr>
            </w:pPr>
            <w:r>
              <w:rPr>
                <w:rFonts w:ascii="宋体" w:hAnsi="宋体" w:eastAsia="宋体" w:cs="宋体"/>
                <w:color w:val="auto"/>
                <w:kern w:val="0"/>
                <w:sz w:val="24"/>
                <w:szCs w:val="24"/>
                <w:highlight w:val="none"/>
                <w:lang w:val="en-US" w:eastAsia="zh-CN" w:bidi="ar"/>
              </w:rPr>
              <w:t>验收期次</w:t>
            </w:r>
          </w:p>
        </w:tc>
        <w:tc>
          <w:tcPr>
            <w:tcW w:w="7924"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303" w:type="dxa"/>
            <w:shd w:val="clear" w:color="auto" w:fill="auto"/>
            <w:vAlign w:val="center"/>
          </w:tcPr>
          <w:p>
            <w:pPr>
              <w:keepNext w:val="0"/>
              <w:keepLines w:val="0"/>
              <w:widowControl/>
              <w:suppressLineNumbers w:val="0"/>
              <w:jc w:val="center"/>
              <w:rPr>
                <w:color w:val="auto"/>
                <w:highlight w:val="none"/>
              </w:rPr>
            </w:pPr>
            <w:r>
              <w:rPr>
                <w:rFonts w:hint="eastAsia" w:ascii="宋体" w:hAnsi="宋体" w:cs="宋体"/>
                <w:color w:val="auto"/>
                <w:kern w:val="0"/>
                <w:sz w:val="24"/>
                <w:szCs w:val="24"/>
                <w:highlight w:val="none"/>
                <w:lang w:val="en-US" w:eastAsia="zh-CN" w:bidi="ar"/>
              </w:rPr>
              <w:t>1</w:t>
            </w:r>
          </w:p>
        </w:tc>
        <w:tc>
          <w:tcPr>
            <w:tcW w:w="7924" w:type="dxa"/>
            <w:shd w:val="clear" w:color="auto" w:fill="auto"/>
            <w:vAlign w:val="center"/>
          </w:tcPr>
          <w:p>
            <w:pPr>
              <w:keepNext w:val="0"/>
              <w:keepLines w:val="0"/>
              <w:widowControl/>
              <w:suppressLineNumbers w:val="0"/>
              <w:jc w:val="left"/>
              <w:rPr>
                <w:color w:val="auto"/>
                <w:highlight w:val="none"/>
              </w:rPr>
            </w:pPr>
            <w:r>
              <w:rPr>
                <w:rFonts w:ascii="宋体" w:hAnsi="宋体" w:eastAsia="宋体" w:cs="宋体"/>
                <w:color w:val="auto"/>
                <w:kern w:val="0"/>
                <w:sz w:val="24"/>
                <w:szCs w:val="24"/>
                <w:highlight w:val="none"/>
                <w:lang w:val="en-US" w:eastAsia="zh-CN" w:bidi="ar"/>
              </w:rPr>
              <w:t>符合招标文件及相关规定要求</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val="en-US" w:eastAsia="zh-CN"/>
        </w:rPr>
        <w:t>支付方式</w:t>
      </w:r>
    </w:p>
    <w:p>
      <w:pPr>
        <w:spacing w:line="400" w:lineRule="exact"/>
        <w:ind w:firstLine="480" w:firstLineChars="200"/>
        <w:jc w:val="left"/>
        <w:rPr>
          <w:rFonts w:hint="eastAsia" w:ascii="宋体" w:hAnsi="宋体"/>
          <w:b w:val="0"/>
          <w:bCs w:val="0"/>
          <w:color w:val="auto"/>
          <w:sz w:val="24"/>
          <w:highlight w:val="none"/>
        </w:rPr>
      </w:pPr>
      <w:r>
        <w:rPr>
          <w:rFonts w:hint="eastAsia" w:ascii="宋体" w:hAnsi="宋体"/>
          <w:b w:val="0"/>
          <w:bCs w:val="0"/>
          <w:color w:val="auto"/>
          <w:sz w:val="24"/>
          <w:highlight w:val="none"/>
        </w:rPr>
        <w:t>货到安装并验收合格后付款，招标人不接受需要支付预付款的投标报价。招标货物的付款条件为货到安装、验收合格并上完牌后付货款的90％，剩下的10%余款在质量保证期届满后付清。</w:t>
      </w:r>
    </w:p>
    <w:p>
      <w:pPr>
        <w:pStyle w:val="2"/>
        <w:ind w:firstLine="480" w:firstLineChars="200"/>
        <w:rPr>
          <w:rFonts w:hint="eastAsia"/>
          <w:color w:val="auto"/>
          <w:highlight w:val="none"/>
        </w:rPr>
      </w:pPr>
      <w:r>
        <w:rPr>
          <w:rFonts w:hint="eastAsia"/>
          <w:color w:val="auto"/>
          <w:highlight w:val="none"/>
        </w:rPr>
        <w:t>每次付款前，</w:t>
      </w:r>
      <w:r>
        <w:rPr>
          <w:rFonts w:hint="eastAsia"/>
          <w:color w:val="auto"/>
          <w:highlight w:val="none"/>
          <w:lang w:val="en-US" w:eastAsia="zh-CN"/>
        </w:rPr>
        <w:t>中标人</w:t>
      </w:r>
      <w:r>
        <w:rPr>
          <w:rFonts w:hint="eastAsia"/>
          <w:color w:val="auto"/>
          <w:highlight w:val="none"/>
        </w:rPr>
        <w:t>应向</w:t>
      </w:r>
      <w:r>
        <w:rPr>
          <w:rFonts w:hint="eastAsia" w:ascii="宋体" w:hAnsi="宋体"/>
          <w:b w:val="0"/>
          <w:bCs w:val="0"/>
          <w:color w:val="auto"/>
          <w:sz w:val="24"/>
          <w:highlight w:val="none"/>
        </w:rPr>
        <w:t>招标人</w:t>
      </w:r>
      <w:r>
        <w:rPr>
          <w:rFonts w:hint="eastAsia"/>
          <w:color w:val="auto"/>
          <w:highlight w:val="none"/>
        </w:rPr>
        <w:t>提供符合</w:t>
      </w:r>
      <w:r>
        <w:rPr>
          <w:rFonts w:hint="eastAsia" w:ascii="宋体" w:hAnsi="宋体"/>
          <w:b w:val="0"/>
          <w:bCs w:val="0"/>
          <w:color w:val="auto"/>
          <w:sz w:val="24"/>
          <w:highlight w:val="none"/>
        </w:rPr>
        <w:t>招标人</w:t>
      </w:r>
      <w:r>
        <w:rPr>
          <w:rFonts w:hint="eastAsia"/>
          <w:color w:val="auto"/>
          <w:highlight w:val="none"/>
        </w:rPr>
        <w:t>要求的等额正式发票，否则</w:t>
      </w:r>
      <w:r>
        <w:rPr>
          <w:rFonts w:hint="eastAsia" w:ascii="宋体" w:hAnsi="宋体"/>
          <w:b w:val="0"/>
          <w:bCs w:val="0"/>
          <w:color w:val="auto"/>
          <w:sz w:val="24"/>
          <w:highlight w:val="none"/>
        </w:rPr>
        <w:t>招标人</w:t>
      </w:r>
      <w:r>
        <w:rPr>
          <w:rFonts w:hint="eastAsia"/>
          <w:color w:val="auto"/>
          <w:highlight w:val="none"/>
        </w:rPr>
        <w:t>有权拒绝付款。</w:t>
      </w:r>
    </w:p>
    <w:p>
      <w:pPr>
        <w:pStyle w:val="16"/>
        <w:spacing w:before="75" w:beforeAutospacing="0" w:after="75" w:afterAutospacing="0"/>
        <w:rPr>
          <w:rStyle w:val="22"/>
          <w:rFonts w:hint="eastAsia" w:ascii="宋体" w:hAnsi="宋体" w:cs="宋体"/>
          <w:color w:val="auto"/>
          <w:szCs w:val="24"/>
          <w:highlight w:val="none"/>
        </w:rPr>
      </w:pPr>
      <w:r>
        <w:rPr>
          <w:rStyle w:val="22"/>
          <w:rFonts w:hint="eastAsia" w:ascii="宋体" w:hAnsi="宋体" w:eastAsia="宋体" w:cs="宋体"/>
          <w:color w:val="auto"/>
          <w:sz w:val="24"/>
          <w:szCs w:val="24"/>
          <w:highlight w:val="none"/>
          <w:vertAlign w:val="baseline"/>
          <w:lang w:val="en-US" w:eastAsia="zh-CN"/>
        </w:rPr>
        <w:t>8</w:t>
      </w:r>
      <w:r>
        <w:rPr>
          <w:rStyle w:val="22"/>
          <w:rFonts w:hint="eastAsia" w:ascii="宋体" w:hAnsi="宋体" w:eastAsia="宋体" w:cs="宋体"/>
          <w:color w:val="auto"/>
          <w:sz w:val="24"/>
          <w:szCs w:val="24"/>
          <w:highlight w:val="none"/>
          <w:vertAlign w:val="baseline"/>
        </w:rPr>
        <w:t>、</w:t>
      </w:r>
      <w:r>
        <w:rPr>
          <w:rStyle w:val="22"/>
          <w:rFonts w:hint="eastAsia" w:ascii="宋体" w:hAnsi="宋体" w:cs="宋体"/>
          <w:color w:val="auto"/>
          <w:szCs w:val="24"/>
          <w:highlight w:val="none"/>
        </w:rPr>
        <w:t>售后服务相关要求：</w:t>
      </w:r>
    </w:p>
    <w:p>
      <w:pPr>
        <w:tabs>
          <w:tab w:val="left" w:pos="0"/>
        </w:tabs>
        <w:spacing w:line="400" w:lineRule="exact"/>
        <w:ind w:right="206" w:rightChars="98" w:firstLine="241" w:firstLineChars="100"/>
        <w:rPr>
          <w:rFonts w:hint="eastAsia" w:ascii="宋体" w:hAnsi="宋体" w:cs="宋体"/>
          <w:b/>
          <w:color w:val="auto"/>
          <w:sz w:val="24"/>
          <w:highlight w:val="none"/>
        </w:rPr>
      </w:pP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.1 售后服务</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1）质量保证期：在货物详细要求中有特殊要求的除外，所有货物均要求在验收合格之日起免费保质期为</w:t>
      </w:r>
      <w:r>
        <w:rPr>
          <w:rFonts w:hint="eastAsia" w:ascii="宋体" w:hAnsi="宋体" w:cs="宋体"/>
          <w:b/>
          <w:bCs/>
          <w:color w:val="auto"/>
          <w:sz w:val="24"/>
          <w:highlight w:val="none"/>
        </w:rPr>
        <w:t>贰年</w:t>
      </w:r>
      <w:r>
        <w:rPr>
          <w:rFonts w:hint="eastAsia" w:ascii="宋体" w:hAnsi="宋体" w:cs="宋体"/>
          <w:color w:val="auto"/>
          <w:sz w:val="24"/>
          <w:highlight w:val="none"/>
        </w:rPr>
        <w:t>或以上(厂家或国家有更长免费质量保修期限规定的从其规定）。保质期内中标人必须保证对所有货物非人为破坏而损坏的免费保修保养。</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维修服务的响应时间：在质量保证期内系统运行发生故障时卖方在接到招标人故障通知后2小时内响应，6个小时内到达现场进行维修，24小时内解决问题；若24小时内无法排除故障，应免费向用户提供与该设备型号、规格及技术指标相一致的备品或更新的兼容设备以保证设备正常运行。</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3）质量保修期后的服务要求：质量保修期结束后，中标人仍应对货物提供终身维修服务，</w:t>
      </w:r>
      <w:r>
        <w:rPr>
          <w:rFonts w:hint="eastAsia" w:ascii="宋体" w:hAnsi="宋体" w:cs="宋体"/>
          <w:color w:val="auto"/>
          <w:sz w:val="24"/>
          <w:highlight w:val="none"/>
          <w:lang w:val="en-US" w:eastAsia="zh-CN"/>
        </w:rPr>
        <w:t>招标人</w:t>
      </w:r>
      <w:r>
        <w:rPr>
          <w:rFonts w:hint="eastAsia" w:ascii="宋体" w:hAnsi="宋体" w:cs="宋体"/>
          <w:color w:val="auto"/>
          <w:sz w:val="24"/>
          <w:highlight w:val="none"/>
        </w:rPr>
        <w:t>有</w:t>
      </w:r>
      <w:r>
        <w:rPr>
          <w:rFonts w:hint="eastAsia" w:ascii="宋体" w:hAnsi="宋体" w:cs="宋体"/>
          <w:color w:val="auto"/>
          <w:sz w:val="24"/>
          <w:highlight w:val="none"/>
          <w:lang w:val="en-US" w:eastAsia="zh-CN"/>
        </w:rPr>
        <w:t>权要求</w:t>
      </w:r>
      <w:r>
        <w:rPr>
          <w:rFonts w:hint="eastAsia" w:ascii="宋体" w:hAnsi="宋体" w:cs="宋体"/>
          <w:color w:val="auto"/>
          <w:sz w:val="24"/>
          <w:highlight w:val="none"/>
        </w:rPr>
        <w:t>中标人对货物在必要时进行定期维护和修理，中标人每三个月上门进行设备维护，确保设备处于最佳性能状态。换配件时只能收取配件的成本费。投标人在投标文件中必须明确说明服务承诺。</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4）中标人应根据招标人指定的地点免费提供所有货物的送货、安装服务。</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5）验收不合格的货物，招标人可以要求中标人无条件免费更换或退货，并赔偿由此造成招标人的损失。</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6）投标人可视自身能力在投标文件中提供更优、更合理的售后服务承诺。</w:t>
      </w:r>
    </w:p>
    <w:p>
      <w:pPr>
        <w:spacing w:line="400" w:lineRule="exact"/>
        <w:ind w:firstLine="241" w:firstLineChars="100"/>
        <w:rPr>
          <w:rFonts w:hint="eastAsia" w:ascii="宋体" w:hAnsi="宋体" w:cs="宋体"/>
          <w:b/>
          <w:color w:val="auto"/>
          <w:sz w:val="24"/>
          <w:highlight w:val="none"/>
        </w:rPr>
      </w:pP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.2安装和调试</w:t>
      </w:r>
    </w:p>
    <w:p>
      <w:pPr>
        <w:spacing w:line="30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中标方</w:t>
      </w:r>
      <w:r>
        <w:rPr>
          <w:rFonts w:hint="eastAsia" w:ascii="宋体" w:hAnsi="宋体"/>
          <w:bCs/>
          <w:color w:val="auto"/>
          <w:sz w:val="24"/>
          <w:highlight w:val="none"/>
        </w:rPr>
        <w:t>提供的产品的制造标准、安装标准及技术规范等必须符合相应的国家标准，行业标准及规范要求。</w:t>
      </w:r>
    </w:p>
    <w:p>
      <w:pPr>
        <w:spacing w:line="400" w:lineRule="exact"/>
        <w:ind w:firstLine="470" w:firstLineChars="196"/>
        <w:rPr>
          <w:rFonts w:hint="eastAsia" w:ascii="宋体" w:hAnsi="宋体" w:cs="宋体"/>
          <w:b/>
          <w:color w:val="auto"/>
          <w:sz w:val="24"/>
          <w:highlight w:val="none"/>
        </w:rPr>
      </w:pPr>
      <w:r>
        <w:rPr>
          <w:rFonts w:hint="eastAsia" w:ascii="宋体" w:hAnsi="宋体" w:cs="宋体"/>
          <w:color w:val="auto"/>
          <w:sz w:val="24"/>
          <w:highlight w:val="none"/>
        </w:rPr>
        <w:t>中标方负责派技术人员到现场免费进行安装调试，直至验收合格；中标方应在货物运抵现场一周前，向采购人提供安装调试及运行的进度计划表，</w:t>
      </w:r>
      <w:r>
        <w:rPr>
          <w:rFonts w:hint="eastAsia" w:ascii="宋体" w:hAnsi="宋体" w:cs="宋体"/>
          <w:color w:val="auto"/>
          <w:sz w:val="24"/>
          <w:highlight w:val="none"/>
          <w:u w:val="single"/>
        </w:rPr>
        <w:t>费用由中标人承担。</w:t>
      </w:r>
    </w:p>
    <w:p>
      <w:pPr>
        <w:tabs>
          <w:tab w:val="left" w:pos="0"/>
        </w:tabs>
        <w:spacing w:line="400" w:lineRule="exact"/>
        <w:ind w:firstLine="241" w:firstLineChars="100"/>
        <w:rPr>
          <w:rFonts w:hint="eastAsia" w:ascii="宋体" w:hAnsi="宋体" w:cs="宋体"/>
          <w:b/>
          <w:color w:val="auto"/>
          <w:sz w:val="24"/>
          <w:highlight w:val="none"/>
        </w:rPr>
      </w:pP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.3技术培训</w:t>
      </w:r>
    </w:p>
    <w:p>
      <w:pPr>
        <w:tabs>
          <w:tab w:val="left" w:pos="0"/>
        </w:tabs>
        <w:spacing w:line="400" w:lineRule="exact"/>
        <w:ind w:firstLine="360" w:firstLineChars="150"/>
        <w:rPr>
          <w:rFonts w:hint="eastAsia" w:hAnsi="宋体" w:cs="宋体"/>
          <w:b/>
          <w:color w:val="auto"/>
          <w:sz w:val="24"/>
          <w:highlight w:val="none"/>
        </w:rPr>
      </w:pPr>
      <w:r>
        <w:rPr>
          <w:rFonts w:hint="eastAsia" w:ascii="宋体" w:hAnsi="宋体" w:cs="宋体"/>
          <w:color w:val="auto"/>
          <w:sz w:val="24"/>
          <w:highlight w:val="none"/>
        </w:rPr>
        <w:t>中标方应根据业主要求免费负责对买方人员进行专业培训，派厂家技术人员至现场培训，直至采购人能完全操作。</w:t>
      </w:r>
    </w:p>
    <w:p>
      <w:pPr>
        <w:pStyle w:val="12"/>
        <w:tabs>
          <w:tab w:val="left" w:pos="627"/>
        </w:tabs>
        <w:snapToGrid w:val="0"/>
        <w:spacing w:line="400" w:lineRule="exact"/>
        <w:ind w:firstLine="241" w:firstLineChars="100"/>
        <w:rPr>
          <w:rFonts w:hint="eastAsia" w:hAnsi="宋体" w:cs="宋体"/>
          <w:b/>
          <w:color w:val="auto"/>
          <w:sz w:val="24"/>
          <w:szCs w:val="24"/>
          <w:highlight w:val="none"/>
        </w:rPr>
      </w:pPr>
      <w:r>
        <w:rPr>
          <w:rFonts w:hint="eastAsia" w:hAnsi="宋体" w:cs="宋体"/>
          <w:b/>
          <w:color w:val="auto"/>
          <w:sz w:val="24"/>
          <w:szCs w:val="24"/>
          <w:highlight w:val="none"/>
          <w:lang w:val="en-US" w:eastAsia="zh-CN"/>
        </w:rPr>
        <w:t>8.</w:t>
      </w:r>
      <w:r>
        <w:rPr>
          <w:rFonts w:hint="eastAsia" w:hAnsi="宋体" w:cs="宋体"/>
          <w:b/>
          <w:color w:val="auto"/>
          <w:sz w:val="24"/>
          <w:szCs w:val="24"/>
          <w:highlight w:val="none"/>
        </w:rPr>
        <w:t>4验收标准和验收方法</w:t>
      </w:r>
    </w:p>
    <w:p>
      <w:pPr>
        <w:tabs>
          <w:tab w:val="left" w:pos="0"/>
        </w:tabs>
        <w:spacing w:line="4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1）验收标准和验收方法：设备按国家行业标准进行验收。</w:t>
      </w:r>
    </w:p>
    <w:p>
      <w:pPr>
        <w:tabs>
          <w:tab w:val="left" w:pos="0"/>
        </w:tabs>
        <w:spacing w:line="4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 xml:space="preserve">2）产品质量达到设计要求，安装调试各项指标符合技术参数；计量设备应能通过计量部门的验收；实行现场验收，由卖方负责并会同买方及有关专家进行验收。  </w:t>
      </w:r>
    </w:p>
    <w:p>
      <w:pPr>
        <w:tabs>
          <w:tab w:val="left" w:pos="1134"/>
        </w:tabs>
        <w:spacing w:line="400" w:lineRule="exact"/>
        <w:ind w:right="105" w:rightChars="50" w:firstLine="360" w:firstLineChars="150"/>
        <w:rPr>
          <w:rFonts w:hint="eastAsia" w:ascii="宋体" w:hAnsi="宋体" w:cs="宋体"/>
          <w:color w:val="auto"/>
          <w:sz w:val="24"/>
          <w:highlight w:val="none"/>
        </w:rPr>
      </w:pPr>
      <w:r>
        <w:rPr>
          <w:rFonts w:hint="eastAsia" w:ascii="宋体" w:hAnsi="宋体" w:cs="宋体"/>
          <w:color w:val="auto"/>
          <w:sz w:val="24"/>
          <w:highlight w:val="none"/>
        </w:rPr>
        <w:t>3）验收时中标人代表必须在场，招标人将根据招标文件要求、中标人所供货物的规格和产品标准及我国相关技术规范和技术标准进行验收。</w:t>
      </w:r>
    </w:p>
    <w:p>
      <w:pPr>
        <w:tabs>
          <w:tab w:val="left" w:pos="1134"/>
        </w:tabs>
        <w:spacing w:line="400" w:lineRule="exact"/>
        <w:ind w:right="105" w:rightChars="50" w:firstLine="360" w:firstLineChars="150"/>
        <w:rPr>
          <w:rFonts w:hint="eastAsia" w:ascii="宋体" w:hAnsi="宋体" w:cs="宋体"/>
          <w:color w:val="auto"/>
          <w:sz w:val="24"/>
          <w:highlight w:val="none"/>
        </w:rPr>
      </w:pPr>
      <w:r>
        <w:rPr>
          <w:rFonts w:hint="eastAsia" w:ascii="宋体" w:hAnsi="宋体" w:cs="宋体"/>
          <w:color w:val="auto"/>
          <w:sz w:val="24"/>
          <w:highlight w:val="none"/>
        </w:rPr>
        <w:t>4）结构、外观、制造、装配材料及工艺要求应符合招标采购要求及投标文件承诺，招标人在验收时如发现不符合招标采购要求的，招标人有权要求中标人进行换货或退货。</w:t>
      </w:r>
    </w:p>
    <w:p>
      <w:pPr>
        <w:tabs>
          <w:tab w:val="left" w:pos="0"/>
        </w:tabs>
        <w:spacing w:line="4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5）在招标人安装现场进行最终检验所发生的一切费用由中标人承担。</w:t>
      </w:r>
    </w:p>
    <w:p>
      <w:pPr>
        <w:tabs>
          <w:tab w:val="left" w:pos="0"/>
        </w:tabs>
        <w:spacing w:line="4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b/>
          <w:color w:val="auto"/>
          <w:sz w:val="24"/>
          <w:highlight w:val="none"/>
        </w:rPr>
        <w:t>本招标文件的技术参数和规格条款如有遗漏的，投标人应根据投标产品的特点予以补充，否则，一旦中标将认为中标供应商认同遗漏部分并免费提供。</w:t>
      </w:r>
    </w:p>
    <w:p>
      <w:pPr>
        <w:pStyle w:val="12"/>
        <w:snapToGrid w:val="0"/>
        <w:spacing w:line="400" w:lineRule="exact"/>
        <w:rPr>
          <w:rFonts w:hint="eastAsia" w:hAnsi="宋体" w:cs="宋体"/>
          <w:b/>
          <w:color w:val="auto"/>
          <w:sz w:val="24"/>
          <w:szCs w:val="24"/>
          <w:highlight w:val="none"/>
        </w:rPr>
      </w:pPr>
      <w:r>
        <w:rPr>
          <w:rFonts w:hint="eastAsia" w:hAnsi="宋体" w:cs="宋体"/>
          <w:b/>
          <w:color w:val="auto"/>
          <w:sz w:val="24"/>
          <w:szCs w:val="24"/>
          <w:highlight w:val="none"/>
          <w:lang w:val="en-US" w:eastAsia="zh-CN"/>
        </w:rPr>
        <w:t>9、</w:t>
      </w:r>
      <w:r>
        <w:rPr>
          <w:rFonts w:hint="eastAsia" w:hAnsi="宋体" w:cs="宋体"/>
          <w:b/>
          <w:color w:val="auto"/>
          <w:sz w:val="24"/>
          <w:szCs w:val="24"/>
          <w:highlight w:val="none"/>
        </w:rPr>
        <w:t>技术资料要求:</w:t>
      </w:r>
    </w:p>
    <w:p>
      <w:pPr>
        <w:pStyle w:val="12"/>
        <w:snapToGrid w:val="0"/>
        <w:spacing w:line="400" w:lineRule="exact"/>
        <w:rPr>
          <w:rFonts w:hint="eastAsia" w:hAnsi="宋体" w:cs="宋体"/>
          <w:b/>
          <w:color w:val="auto"/>
          <w:sz w:val="24"/>
          <w:szCs w:val="24"/>
          <w:highlight w:val="none"/>
        </w:rPr>
      </w:pPr>
      <w:r>
        <w:rPr>
          <w:rFonts w:hint="eastAsia" w:hAnsi="宋体" w:cs="宋体"/>
          <w:color w:val="auto"/>
          <w:sz w:val="24"/>
          <w:szCs w:val="24"/>
          <w:highlight w:val="none"/>
        </w:rPr>
        <w:t xml:space="preserve">    卖方应向采购方提供一套完整的技术资料。完整的技术资料包括：设备的出厂检验报告、合格证书、装箱单、产品验收标准（含产品合格证验收清单等）；技术说明书；使用说明书；用户手册（中文）；设备安装调试资料、维修线路原理图及其维修资料；零部件目录；配置清单、分项价格及耗材价格；备品、配件易耗品清单。如不能提供维修资料，保修期延长12个月。</w:t>
      </w:r>
      <w:r>
        <w:rPr>
          <w:rFonts w:hint="eastAsia" w:hAnsi="宋体" w:cs="宋体"/>
          <w:b/>
          <w:color w:val="auto"/>
          <w:sz w:val="24"/>
          <w:szCs w:val="24"/>
          <w:highlight w:val="none"/>
        </w:rPr>
        <w:t xml:space="preserve"> </w:t>
      </w:r>
    </w:p>
    <w:p>
      <w:pPr>
        <w:pStyle w:val="12"/>
        <w:snapToGrid w:val="0"/>
        <w:spacing w:line="400" w:lineRule="exact"/>
        <w:rPr>
          <w:rFonts w:hint="eastAsia" w:hAnsi="宋体" w:cs="宋体"/>
          <w:b/>
          <w:color w:val="auto"/>
          <w:sz w:val="24"/>
          <w:szCs w:val="24"/>
          <w:highlight w:val="none"/>
        </w:rPr>
      </w:pPr>
      <w:r>
        <w:rPr>
          <w:rFonts w:hint="eastAsia" w:hAnsi="宋体" w:cs="宋体"/>
          <w:b/>
          <w:color w:val="auto"/>
          <w:sz w:val="24"/>
          <w:szCs w:val="24"/>
          <w:highlight w:val="none"/>
          <w:lang w:val="en-US" w:eastAsia="zh-CN"/>
        </w:rPr>
        <w:t>10</w:t>
      </w:r>
      <w:r>
        <w:rPr>
          <w:rFonts w:hint="eastAsia" w:hAnsi="宋体" w:cs="宋体"/>
          <w:b/>
          <w:color w:val="auto"/>
          <w:sz w:val="24"/>
          <w:szCs w:val="24"/>
          <w:highlight w:val="none"/>
        </w:rPr>
        <w:t>、专用工具</w:t>
      </w:r>
    </w:p>
    <w:p>
      <w:pPr>
        <w:pStyle w:val="12"/>
        <w:snapToGrid w:val="0"/>
        <w:spacing w:line="400" w:lineRule="exact"/>
        <w:ind w:firstLine="570"/>
        <w:rPr>
          <w:rFonts w:hint="eastAsia" w:hAnsi="宋体" w:cs="宋体"/>
          <w:color w:val="auto"/>
          <w:sz w:val="24"/>
          <w:szCs w:val="24"/>
          <w:highlight w:val="none"/>
        </w:rPr>
      </w:pPr>
      <w:r>
        <w:rPr>
          <w:rFonts w:hint="eastAsia" w:hAnsi="宋体" w:cs="宋体"/>
          <w:color w:val="auto"/>
          <w:sz w:val="24"/>
          <w:szCs w:val="24"/>
          <w:highlight w:val="none"/>
        </w:rPr>
        <w:t>卖方应提供一套维修所需的专用工具及其清单。</w:t>
      </w:r>
    </w:p>
    <w:p>
      <w:pPr>
        <w:pStyle w:val="12"/>
        <w:snapToGrid w:val="0"/>
        <w:spacing w:line="400" w:lineRule="exact"/>
        <w:rPr>
          <w:rFonts w:hint="eastAsia" w:hAnsi="宋体" w:cs="宋体"/>
          <w:b/>
          <w:color w:val="auto"/>
          <w:sz w:val="24"/>
          <w:szCs w:val="24"/>
          <w:highlight w:val="none"/>
        </w:rPr>
      </w:pPr>
      <w:r>
        <w:rPr>
          <w:rFonts w:hint="eastAsia" w:ascii="宋体" w:hAnsi="宋体" w:eastAsia="宋体" w:cs="宋体"/>
          <w:b/>
          <w:color w:val="auto"/>
          <w:sz w:val="24"/>
          <w:szCs w:val="24"/>
          <w:highlight w:val="none"/>
          <w:lang w:val="en-US" w:eastAsia="zh-CN"/>
        </w:rPr>
        <w:t>11</w:t>
      </w:r>
      <w:r>
        <w:rPr>
          <w:rFonts w:hint="eastAsia" w:ascii="宋体" w:hAnsi="宋体" w:eastAsia="宋体" w:cs="宋体"/>
          <w:b/>
          <w:color w:val="auto"/>
          <w:sz w:val="24"/>
          <w:szCs w:val="24"/>
          <w:highlight w:val="none"/>
        </w:rPr>
        <w:t>、</w:t>
      </w:r>
      <w:r>
        <w:rPr>
          <w:rFonts w:hint="eastAsia" w:hAnsi="宋体" w:cs="宋体"/>
          <w:b/>
          <w:color w:val="auto"/>
          <w:sz w:val="24"/>
          <w:szCs w:val="24"/>
          <w:highlight w:val="none"/>
        </w:rPr>
        <w:t>备品备件</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卖方应提供设备在质量保证期过后一年内主要备品备件及其清单（含价格清单）。易损零部件请明码标价。</w:t>
      </w:r>
    </w:p>
    <w:p>
      <w:pPr>
        <w:snapToGrid w:val="0"/>
        <w:spacing w:line="400" w:lineRule="exact"/>
        <w:rPr>
          <w:rFonts w:hint="eastAsia" w:ascii="宋体" w:hAnsi="宋体" w:cs="宋体"/>
          <w:b/>
          <w:color w:val="auto"/>
          <w:sz w:val="24"/>
          <w:highlight w:val="none"/>
        </w:rPr>
      </w:pPr>
      <w:r>
        <w:rPr>
          <w:rFonts w:hint="eastAsia" w:ascii="宋体" w:hAnsi="宋体" w:cs="宋体"/>
          <w:b/>
          <w:color w:val="auto"/>
          <w:sz w:val="24"/>
          <w:highlight w:val="none"/>
          <w:lang w:val="en-US" w:eastAsia="zh-CN"/>
        </w:rPr>
        <w:t>12</w:t>
      </w:r>
      <w:r>
        <w:rPr>
          <w:rFonts w:hint="eastAsia" w:ascii="宋体" w:hAnsi="宋体" w:cs="宋体"/>
          <w:b/>
          <w:color w:val="auto"/>
          <w:sz w:val="24"/>
          <w:highlight w:val="none"/>
        </w:rPr>
        <w:t>、专利权</w:t>
      </w:r>
    </w:p>
    <w:p>
      <w:pPr>
        <w:tabs>
          <w:tab w:val="left" w:pos="0"/>
        </w:tabs>
        <w:spacing w:line="400" w:lineRule="exact"/>
        <w:ind w:right="206" w:rightChars="98" w:firstLine="480" w:firstLineChars="200"/>
        <w:rPr>
          <w:rFonts w:hint="eastAsia" w:ascii="宋体" w:hAnsi="宋体" w:cs="宋体"/>
          <w:color w:val="auto"/>
          <w:sz w:val="24"/>
          <w:highlight w:val="none"/>
        </w:rPr>
      </w:pPr>
      <w:r>
        <w:rPr>
          <w:rFonts w:hint="eastAsia" w:ascii="宋体" w:hAnsi="宋体" w:cs="宋体"/>
          <w:color w:val="auto"/>
          <w:sz w:val="24"/>
          <w:highlight w:val="none"/>
        </w:rPr>
        <w:t>卖方须保障买方在使用其货物或货物的任何一部分时，不受到第三方关于侵犯专利权、商标权或工业设计权的指控。任何第三方如果提出侵权指控，卖方须与第三方交涉并承担由此而引起的一切法律责任和费用。</w:t>
      </w:r>
    </w:p>
    <w:p>
      <w:pPr>
        <w:spacing w:line="400" w:lineRule="exact"/>
        <w:rPr>
          <w:rFonts w:hint="eastAsia" w:ascii="宋体" w:hAnsi="宋体" w:cs="宋体"/>
          <w:b/>
          <w:color w:val="auto"/>
          <w:sz w:val="24"/>
          <w:highlight w:val="none"/>
        </w:rPr>
      </w:pPr>
      <w:r>
        <w:rPr>
          <w:rFonts w:hint="eastAsia" w:ascii="宋体" w:hAnsi="宋体" w:cs="宋体"/>
          <w:b/>
          <w:bCs/>
          <w:color w:val="auto"/>
          <w:sz w:val="24"/>
          <w:highlight w:val="none"/>
          <w:lang w:val="en-US" w:eastAsia="zh-CN"/>
        </w:rPr>
        <w:t>13</w:t>
      </w:r>
      <w:r>
        <w:rPr>
          <w:rFonts w:hint="eastAsia" w:ascii="宋体" w:hAnsi="宋体" w:cs="宋体"/>
          <w:b/>
          <w:color w:val="auto"/>
          <w:sz w:val="24"/>
          <w:highlight w:val="none"/>
        </w:rPr>
        <w:t>、其它要求</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 投标人在投标时所提供货物的性能不得低于招标文件中的技术规格和要求。</w:t>
      </w:r>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投标人应如实填写技术规格偏离表，若无详细技术规格偏离表则视为非应答性投标。若采购方掌握了确切事实说明某投标人没有如实填报技术规格偏离表或有弄虚作假行为，该投标文件将作为无效投标处理，并按相关规定进行处罚。</w:t>
      </w:r>
    </w:p>
    <w:p>
      <w:pPr>
        <w:spacing w:line="40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3）投标人承诺的交货期、交货地点、付款方式必须完全满足招标文件要求，否则其投标文件将被拒绝。</w:t>
      </w:r>
    </w:p>
    <w:p>
      <w:pPr>
        <w:spacing w:line="40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4）投标人中标后，如果不按规定与采购人签订合同或者签订合同后不履行其投标承诺或者其它由于中标人自身原因造成无法履行合同的，均视为中标人违约，采购人将取消其中标资格，如果已经签订合同的则合同自动解除，且中标人还要承担相应的法律责任。给采购人造成损失的，还必须进行赔偿。</w:t>
      </w:r>
    </w:p>
    <w:p>
      <w:pPr>
        <w:spacing w:line="300" w:lineRule="auto"/>
        <w:rPr>
          <w:rFonts w:ascii="宋体" w:hAnsi="宋体"/>
          <w:b/>
          <w:color w:val="auto"/>
          <w:sz w:val="24"/>
          <w:highlight w:val="none"/>
        </w:rPr>
      </w:pPr>
      <w:r>
        <w:rPr>
          <w:rFonts w:hint="eastAsia" w:ascii="宋体" w:hAnsi="宋体" w:cs="宋体"/>
          <w:b/>
          <w:color w:val="auto"/>
          <w:sz w:val="24"/>
          <w:highlight w:val="none"/>
        </w:rPr>
        <w:t>1</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w:t>
      </w:r>
      <w:r>
        <w:rPr>
          <w:rFonts w:hint="eastAsia" w:ascii="宋体" w:hAnsi="宋体"/>
          <w:b/>
          <w:color w:val="auto"/>
          <w:sz w:val="24"/>
          <w:highlight w:val="none"/>
        </w:rPr>
        <w:t>违约责任</w:t>
      </w:r>
    </w:p>
    <w:p>
      <w:pPr>
        <w:tabs>
          <w:tab w:val="left" w:pos="0"/>
        </w:tabs>
        <w:spacing w:line="300" w:lineRule="auto"/>
        <w:ind w:firstLine="480" w:firstLineChars="200"/>
        <w:rPr>
          <w:rFonts w:ascii="宋体" w:hAnsi="宋体"/>
          <w:color w:val="auto"/>
          <w:sz w:val="24"/>
          <w:highlight w:val="none"/>
        </w:rPr>
      </w:pPr>
      <w:r>
        <w:rPr>
          <w:rFonts w:hint="eastAsia" w:ascii="宋体" w:hAnsi="宋体"/>
          <w:color w:val="auto"/>
          <w:sz w:val="24"/>
          <w:highlight w:val="none"/>
        </w:rPr>
        <w:t>因中标人原因造成货物交货延误，每延误满一周，应向采购人支付延期交货货物价款5%的违约金。但违约金总值不超过该批(次)货物价款的20%。当中标人的某一批货物交货时间延迟满一个月时，采购人有权通知终止本合同，要求中标人赔偿因此而造成的损失，并向采购人支付合同总价款30%违约金。</w:t>
      </w:r>
    </w:p>
    <w:p>
      <w:pPr>
        <w:tabs>
          <w:tab w:val="left" w:pos="0"/>
        </w:tabs>
        <w:spacing w:line="300" w:lineRule="auto"/>
        <w:ind w:firstLine="480" w:firstLineChars="200"/>
        <w:rPr>
          <w:rFonts w:ascii="宋体" w:hAnsi="宋体"/>
          <w:color w:val="auto"/>
          <w:sz w:val="24"/>
          <w:highlight w:val="none"/>
        </w:rPr>
      </w:pPr>
      <w:r>
        <w:rPr>
          <w:rFonts w:hint="eastAsia" w:ascii="宋体" w:hAnsi="宋体"/>
          <w:color w:val="auto"/>
          <w:sz w:val="24"/>
          <w:highlight w:val="none"/>
        </w:rPr>
        <w:t>当中标人发生违约时，中标人的</w:t>
      </w:r>
      <w:r>
        <w:rPr>
          <w:rFonts w:hint="eastAsia" w:ascii="宋体" w:hAnsi="宋体"/>
          <w:color w:val="auto"/>
          <w:sz w:val="24"/>
          <w:highlight w:val="none"/>
          <w:lang w:val="en-US" w:eastAsia="zh-CN"/>
        </w:rPr>
        <w:t>履约保证金、</w:t>
      </w:r>
      <w:r>
        <w:rPr>
          <w:rFonts w:hint="eastAsia" w:ascii="宋体" w:hAnsi="宋体"/>
          <w:color w:val="auto"/>
          <w:sz w:val="24"/>
          <w:highlight w:val="none"/>
        </w:rPr>
        <w:t>质量合格证金或采购人未支付的货款可以作为上述违约金的一部份、由采购人直接先行扣抵。</w:t>
      </w:r>
    </w:p>
    <w:p>
      <w:pPr>
        <w:spacing w:line="300" w:lineRule="auto"/>
        <w:rPr>
          <w:rFonts w:ascii="宋体" w:hAnsi="宋体"/>
          <w:b/>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5</w:t>
      </w:r>
      <w:r>
        <w:rPr>
          <w:rFonts w:hint="eastAsia" w:ascii="宋体" w:hAnsi="宋体"/>
          <w:color w:val="auto"/>
          <w:sz w:val="24"/>
          <w:highlight w:val="none"/>
        </w:rPr>
        <w:t>、</w:t>
      </w:r>
      <w:r>
        <w:rPr>
          <w:rFonts w:hint="eastAsia" w:ascii="宋体" w:hAnsi="宋体"/>
          <w:b/>
          <w:color w:val="auto"/>
          <w:sz w:val="24"/>
          <w:highlight w:val="none"/>
        </w:rPr>
        <w:t>违约终止合同</w:t>
      </w:r>
    </w:p>
    <w:p>
      <w:pPr>
        <w:spacing w:line="300" w:lineRule="auto"/>
        <w:ind w:firstLine="523" w:firstLineChars="218"/>
        <w:rPr>
          <w:rFonts w:ascii="宋体" w:hAnsi="宋体"/>
          <w:color w:val="auto"/>
          <w:sz w:val="24"/>
          <w:highlight w:val="none"/>
        </w:rPr>
      </w:pPr>
      <w:r>
        <w:rPr>
          <w:rFonts w:hint="eastAsia" w:ascii="宋体" w:hAnsi="宋体"/>
          <w:color w:val="auto"/>
          <w:sz w:val="24"/>
          <w:highlight w:val="none"/>
        </w:rPr>
        <w:t>因中标人在补救违约而采取的任何其他措施未能实现的情况下，即在采购人发出的违约通知后30天内(或经甲方书面确认的更长时间内)仍未纠正其下述任何一种违约行为，采购人有权向乙方发出书面违约通知，采购人有权终止本合同，要求中标人支付合同价款30%的违约金，并没收中标人的</w:t>
      </w:r>
      <w:r>
        <w:rPr>
          <w:rFonts w:hint="eastAsia" w:ascii="宋体" w:hAnsi="宋体"/>
          <w:color w:val="auto"/>
          <w:sz w:val="24"/>
          <w:highlight w:val="none"/>
          <w:lang w:val="en-US" w:eastAsia="zh-CN"/>
        </w:rPr>
        <w:t>履约</w:t>
      </w:r>
      <w:r>
        <w:rPr>
          <w:rFonts w:hint="eastAsia" w:ascii="宋体" w:hAnsi="宋体"/>
          <w:color w:val="auto"/>
          <w:sz w:val="24"/>
          <w:highlight w:val="none"/>
        </w:rPr>
        <w:t>保证金。合同终止日期为采购人书面违约通知落款时间：</w:t>
      </w:r>
    </w:p>
    <w:p>
      <w:pPr>
        <w:tabs>
          <w:tab w:val="left" w:pos="420"/>
        </w:tabs>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1、如果中标人未能在合同规定的期限内或双方另行确定的延期交货时间内交付合同约定的货物。</w:t>
      </w:r>
    </w:p>
    <w:p>
      <w:pPr>
        <w:pStyle w:val="2"/>
        <w:rPr>
          <w:color w:val="auto"/>
          <w:highlight w:val="none"/>
          <w:lang w:val="en-US" w:eastAsia="zh-CN"/>
        </w:rPr>
      </w:pPr>
      <w:r>
        <w:rPr>
          <w:rFonts w:hint="eastAsia"/>
          <w:color w:val="auto"/>
          <w:highlight w:val="none"/>
          <w:lang w:val="en-US" w:eastAsia="zh-CN"/>
        </w:rPr>
        <w:t xml:space="preserve">    </w:t>
      </w:r>
      <w:r>
        <w:rPr>
          <w:rFonts w:hint="eastAsia" w:ascii="宋体" w:hAnsi="宋体"/>
          <w:color w:val="auto"/>
          <w:sz w:val="24"/>
          <w:highlight w:val="none"/>
          <w:lang w:val="en-US" w:eastAsia="zh-CN"/>
        </w:rPr>
        <w:t>2、乙方提供的货物不能通过甲方验收或在甲方验收未通过的情况下未能再次提供符合甲方要求的货物。</w:t>
      </w:r>
    </w:p>
    <w:p>
      <w:pPr>
        <w:pStyle w:val="16"/>
        <w:keepNext w:val="0"/>
        <w:keepLines w:val="0"/>
        <w:widowControl/>
        <w:suppressLineNumbers w:val="0"/>
        <w:ind w:firstLine="480" w:firstLineChars="200"/>
        <w:rPr>
          <w:rFonts w:hint="eastAsia"/>
          <w:color w:val="auto"/>
          <w:highlight w:val="none"/>
        </w:rPr>
      </w:pPr>
      <w:r>
        <w:rPr>
          <w:rFonts w:hint="eastAsia" w:ascii="宋体" w:hAnsi="宋体"/>
          <w:color w:val="auto"/>
          <w:sz w:val="24"/>
          <w:highlight w:val="none"/>
        </w:rPr>
        <w:t>3、中标人未能履行合同项下的任何其它义务。</w:t>
      </w:r>
    </w:p>
    <w:p>
      <w:pPr>
        <w:pStyle w:val="16"/>
        <w:keepNext w:val="0"/>
        <w:keepLines w:val="0"/>
        <w:widowControl/>
        <w:suppressLineNumbers w:val="0"/>
        <w:spacing w:before="75" w:beforeAutospacing="0" w:after="75" w:afterAutospacing="0"/>
        <w:ind w:left="0" w:right="0" w:firstLine="0"/>
        <w:rPr>
          <w:b/>
          <w:bCs/>
          <w:color w:val="auto"/>
          <w:highlight w:val="none"/>
        </w:rPr>
      </w:pPr>
      <w:r>
        <w:rPr>
          <w:b/>
          <w:bCs/>
          <w:color w:val="auto"/>
          <w:spacing w:val="0"/>
          <w:sz w:val="24"/>
          <w:szCs w:val="24"/>
          <w:highlight w:val="none"/>
        </w:rPr>
        <w:t>四、其他事项</w:t>
      </w:r>
    </w:p>
    <w:p>
      <w:pPr>
        <w:pStyle w:val="16"/>
        <w:keepNext w:val="0"/>
        <w:keepLines w:val="0"/>
        <w:widowControl/>
        <w:suppressLineNumbers w:val="0"/>
        <w:spacing w:before="75" w:beforeLines="0" w:beforeAutospacing="0" w:after="75" w:afterLines="0" w:afterAutospacing="0"/>
        <w:ind w:left="0" w:right="0" w:firstLine="0"/>
        <w:rPr>
          <w:color w:val="auto"/>
          <w:highlight w:val="none"/>
        </w:rPr>
      </w:pPr>
      <w:r>
        <w:rPr>
          <w:rFonts w:hint="eastAsia" w:ascii="宋体" w:hAnsi="宋体" w:eastAsia="宋体" w:cs="宋体"/>
          <w:color w:val="auto"/>
          <w:spacing w:val="0"/>
          <w:sz w:val="24"/>
          <w:szCs w:val="24"/>
          <w:highlight w:val="none"/>
        </w:rPr>
        <w:t>1、除招标文件另有规定外，若出现有关法律、法规和规章有强制性规定但招标文件未列明的情形，则投标人应按照有关法律、法规和规章强制性规定执行。</w:t>
      </w:r>
    </w:p>
    <w:p>
      <w:pPr>
        <w:pStyle w:val="16"/>
        <w:keepNext w:val="0"/>
        <w:keepLines w:val="0"/>
        <w:widowControl/>
        <w:suppressLineNumbers w:val="0"/>
        <w:rPr>
          <w:color w:val="auto"/>
          <w:highlight w:val="none"/>
        </w:rPr>
      </w:pPr>
    </w:p>
    <w:p>
      <w:pPr>
        <w:rPr>
          <w:rStyle w:val="22"/>
          <w:rFonts w:hint="eastAsia" w:ascii="宋体" w:hAnsi="宋体" w:eastAsia="宋体" w:cs="宋体"/>
          <w:color w:val="auto"/>
          <w:spacing w:val="0"/>
          <w:sz w:val="31"/>
          <w:szCs w:val="31"/>
          <w:highlight w:val="none"/>
        </w:rPr>
      </w:pPr>
      <w:r>
        <w:rPr>
          <w:rStyle w:val="22"/>
          <w:rFonts w:hint="eastAsia" w:ascii="宋体" w:hAnsi="宋体" w:eastAsia="宋体" w:cs="宋体"/>
          <w:color w:val="auto"/>
          <w:spacing w:val="0"/>
          <w:sz w:val="31"/>
          <w:szCs w:val="31"/>
          <w:highlight w:val="none"/>
        </w:rPr>
        <w:br w:type="page"/>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31"/>
          <w:szCs w:val="31"/>
          <w:highlight w:val="none"/>
        </w:rPr>
        <w:t>第六章   政府采购合同（参考文本）</w:t>
      </w:r>
    </w:p>
    <w:p>
      <w:pPr>
        <w:pStyle w:val="16"/>
        <w:keepNext w:val="0"/>
        <w:keepLines w:val="0"/>
        <w:widowControl/>
        <w:suppressLineNumbers w:val="0"/>
        <w:spacing w:before="75" w:beforeAutospacing="0" w:after="75" w:afterAutospacing="0"/>
        <w:ind w:left="0" w:right="0" w:firstLine="0"/>
        <w:rPr>
          <w:color w:val="auto"/>
          <w:highlight w:val="none"/>
        </w:rPr>
      </w:pPr>
      <w:r>
        <w:rPr>
          <w:rFonts w:hint="eastAsia" w:ascii="宋体" w:hAnsi="宋体" w:eastAsia="宋体" w:cs="宋体"/>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24"/>
          <w:szCs w:val="24"/>
          <w:highlight w:val="none"/>
        </w:rPr>
        <w:t>编制说明</w:t>
      </w:r>
    </w:p>
    <w:p>
      <w:pPr>
        <w:widowControl/>
        <w:spacing w:before="100" w:beforeAutospacing="1" w:after="100" w:afterAutospacing="1"/>
        <w:jc w:val="left"/>
        <w:rPr>
          <w:rFonts w:hint="eastAsia" w:ascii="宋体" w:hAnsi="宋体" w:cs="宋体"/>
          <w:color w:val="auto"/>
          <w:sz w:val="24"/>
          <w:highlight w:val="none"/>
        </w:rPr>
      </w:pPr>
      <w:r>
        <w:rPr>
          <w:rFonts w:hint="eastAsia" w:ascii="宋体" w:hAnsi="宋体" w:cs="宋体"/>
          <w:color w:val="auto"/>
          <w:sz w:val="24"/>
          <w:highlight w:val="none"/>
        </w:rPr>
        <w:t>1、签订合同应遵守《中华人民共和国民法典》、《中华人民共和国政府采购法》等相关法律法规。</w:t>
      </w:r>
    </w:p>
    <w:p>
      <w:pPr>
        <w:widowControl/>
        <w:spacing w:before="100" w:beforeAutospacing="1" w:after="100" w:afterAutospacing="1"/>
        <w:jc w:val="left"/>
        <w:rPr>
          <w:rFonts w:hint="eastAsia" w:ascii="宋体" w:hAnsi="宋体" w:cs="宋体"/>
          <w:color w:val="auto"/>
          <w:sz w:val="24"/>
          <w:highlight w:val="none"/>
        </w:rPr>
      </w:pPr>
      <w:r>
        <w:rPr>
          <w:rFonts w:hint="eastAsia" w:ascii="宋体" w:hAnsi="宋体" w:cs="宋体"/>
          <w:color w:val="auto"/>
          <w:sz w:val="24"/>
          <w:highlight w:val="none"/>
        </w:rPr>
        <w:t>2、签订合同时，采购人与中标人应结合招标文件第五章规定填列相应内容。招标文件第五章已有规定的，双方均不得对规定进行变更或调整；招标文件第五章未作规定的，双方可通过友好协商进行约定。</w:t>
      </w:r>
    </w:p>
    <w:p>
      <w:pPr>
        <w:spacing w:line="300" w:lineRule="auto"/>
        <w:rPr>
          <w:rFonts w:ascii="宋体" w:hAnsi="宋体"/>
          <w:color w:val="auto"/>
          <w:sz w:val="24"/>
          <w:highlight w:val="none"/>
        </w:rPr>
      </w:pPr>
      <w:r>
        <w:rPr>
          <w:rFonts w:hint="eastAsia" w:ascii="宋体" w:hAnsi="宋体"/>
          <w:color w:val="auto"/>
          <w:sz w:val="24"/>
          <w:highlight w:val="none"/>
        </w:rPr>
        <w:t xml:space="preserve">甲方(招标人)：                            签定地点：                   </w:t>
      </w:r>
    </w:p>
    <w:p>
      <w:pPr>
        <w:spacing w:line="300" w:lineRule="auto"/>
        <w:rPr>
          <w:rFonts w:ascii="宋体" w:hAnsi="宋体"/>
          <w:color w:val="auto"/>
          <w:sz w:val="24"/>
          <w:highlight w:val="none"/>
        </w:rPr>
      </w:pPr>
      <w:r>
        <w:rPr>
          <w:rFonts w:hint="eastAsia" w:ascii="宋体" w:hAnsi="宋体"/>
          <w:color w:val="auto"/>
          <w:sz w:val="24"/>
          <w:highlight w:val="none"/>
        </w:rPr>
        <w:t>乙方(中标人)：                            签定日期：      年   月   日</w:t>
      </w:r>
    </w:p>
    <w:p>
      <w:pPr>
        <w:spacing w:line="300" w:lineRule="auto"/>
        <w:rPr>
          <w:rFonts w:ascii="宋体" w:hAnsi="宋体"/>
          <w:color w:val="auto"/>
          <w:sz w:val="24"/>
          <w:highlight w:val="none"/>
        </w:rPr>
      </w:pPr>
      <w:r>
        <w:rPr>
          <w:rFonts w:hint="eastAsia" w:ascii="宋体" w:hAnsi="宋体"/>
          <w:color w:val="auto"/>
          <w:sz w:val="24"/>
          <w:highlight w:val="none"/>
        </w:rPr>
        <w:t>见证单位(招标代理机构)：</w:t>
      </w:r>
    </w:p>
    <w:p>
      <w:pPr>
        <w:spacing w:line="300" w:lineRule="auto"/>
        <w:ind w:firstLine="480"/>
        <w:rPr>
          <w:rFonts w:ascii="宋体" w:hAnsi="宋体"/>
          <w:color w:val="auto"/>
          <w:sz w:val="24"/>
          <w:highlight w:val="none"/>
        </w:rPr>
      </w:pPr>
      <w:r>
        <w:rPr>
          <w:rFonts w:hint="eastAsia" w:ascii="宋体" w:hAnsi="宋体"/>
          <w:color w:val="auto"/>
          <w:sz w:val="24"/>
          <w:highlight w:val="none"/>
        </w:rPr>
        <w:t>根据甲方申请并经主管部门核准，甲方委托</w:t>
      </w:r>
      <w:r>
        <w:rPr>
          <w:rFonts w:hint="eastAsia" w:ascii="宋体" w:hAnsi="宋体"/>
          <w:color w:val="auto"/>
          <w:sz w:val="24"/>
          <w:highlight w:val="none"/>
          <w:lang w:eastAsia="zh-CN"/>
        </w:rPr>
        <w:t>福建亿立项目管理有限公司</w:t>
      </w:r>
      <w:r>
        <w:rPr>
          <w:rFonts w:hint="eastAsia" w:ascii="宋体" w:hAnsi="宋体"/>
          <w:color w:val="auto"/>
          <w:sz w:val="24"/>
          <w:highlight w:val="none"/>
        </w:rPr>
        <w:t>对以下货物进行招标采购(招标编号：</w:t>
      </w:r>
      <w:r>
        <w:rPr>
          <w:rFonts w:hint="eastAsia" w:ascii="宋体" w:hAnsi="宋体"/>
          <w:color w:val="auto"/>
          <w:sz w:val="24"/>
          <w:highlight w:val="none"/>
          <w:u w:val="single"/>
        </w:rPr>
        <w:t xml:space="preserve">            </w:t>
      </w:r>
      <w:r>
        <w:rPr>
          <w:rFonts w:hint="eastAsia" w:ascii="宋体" w:hAnsi="宋体"/>
          <w:color w:val="auto"/>
          <w:sz w:val="24"/>
          <w:highlight w:val="none"/>
        </w:rPr>
        <w:t>)的招标结果，乙方为中标人，现依照招标文件、投标文件及相关文件的内容，双方达成如下协议：</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合同标的和合同价格</w:t>
      </w:r>
    </w:p>
    <w:tbl>
      <w:tblPr>
        <w:tblStyle w:val="19"/>
        <w:tblW w:w="9351"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09"/>
        <w:gridCol w:w="808"/>
        <w:gridCol w:w="924"/>
        <w:gridCol w:w="924"/>
        <w:gridCol w:w="1382"/>
        <w:gridCol w:w="862"/>
        <w:gridCol w:w="742"/>
        <w:gridCol w:w="976"/>
        <w:gridCol w:w="976"/>
        <w:gridCol w:w="94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809" w:type="dxa"/>
            <w:tcBorders>
              <w:top w:val="single" w:color="auto" w:sz="18" w:space="0"/>
              <w:bottom w:val="single" w:color="auto" w:sz="6" w:space="0"/>
              <w:right w:val="single" w:color="auto" w:sz="4"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合同包</w:t>
            </w:r>
          </w:p>
        </w:tc>
        <w:tc>
          <w:tcPr>
            <w:tcW w:w="808" w:type="dxa"/>
            <w:tcBorders>
              <w:top w:val="single" w:color="auto" w:sz="18" w:space="0"/>
              <w:left w:val="single" w:color="auto" w:sz="4" w:space="0"/>
              <w:bottom w:val="single" w:color="auto" w:sz="6"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品目号</w:t>
            </w:r>
          </w:p>
        </w:tc>
        <w:tc>
          <w:tcPr>
            <w:tcW w:w="924" w:type="dxa"/>
            <w:tcBorders>
              <w:top w:val="single" w:color="auto" w:sz="18" w:space="0"/>
              <w:bottom w:val="single" w:color="auto" w:sz="6"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货物名称</w:t>
            </w:r>
          </w:p>
        </w:tc>
        <w:tc>
          <w:tcPr>
            <w:tcW w:w="924" w:type="dxa"/>
            <w:tcBorders>
              <w:top w:val="single" w:color="auto" w:sz="18" w:space="0"/>
              <w:bottom w:val="single" w:color="auto" w:sz="6"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品牌型号</w:t>
            </w:r>
          </w:p>
        </w:tc>
        <w:tc>
          <w:tcPr>
            <w:tcW w:w="1382" w:type="dxa"/>
            <w:tcBorders>
              <w:top w:val="single" w:color="auto" w:sz="18" w:space="0"/>
              <w:bottom w:val="single" w:color="auto" w:sz="6" w:space="0"/>
              <w:right w:val="single" w:color="auto" w:sz="4"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配置和技术参数</w:t>
            </w:r>
          </w:p>
        </w:tc>
        <w:tc>
          <w:tcPr>
            <w:tcW w:w="862" w:type="dxa"/>
            <w:tcBorders>
              <w:top w:val="single" w:color="auto" w:sz="18" w:space="0"/>
              <w:left w:val="single" w:color="auto" w:sz="4" w:space="0"/>
              <w:bottom w:val="single" w:color="auto" w:sz="6" w:space="0"/>
              <w:right w:val="single" w:color="auto" w:sz="4"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生产厂家</w:t>
            </w:r>
          </w:p>
        </w:tc>
        <w:tc>
          <w:tcPr>
            <w:tcW w:w="742" w:type="dxa"/>
            <w:tcBorders>
              <w:top w:val="single" w:color="auto" w:sz="18" w:space="0"/>
              <w:left w:val="single" w:color="auto" w:sz="4" w:space="0"/>
              <w:bottom w:val="single" w:color="auto" w:sz="6"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数量</w:t>
            </w:r>
          </w:p>
        </w:tc>
        <w:tc>
          <w:tcPr>
            <w:tcW w:w="976" w:type="dxa"/>
            <w:tcBorders>
              <w:top w:val="single" w:color="auto" w:sz="18" w:space="0"/>
              <w:bottom w:val="single" w:color="auto" w:sz="6"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单价</w:t>
            </w:r>
          </w:p>
        </w:tc>
        <w:tc>
          <w:tcPr>
            <w:tcW w:w="976" w:type="dxa"/>
            <w:tcBorders>
              <w:top w:val="single" w:color="auto" w:sz="18" w:space="0"/>
              <w:bottom w:val="single" w:color="auto" w:sz="6"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小计</w:t>
            </w:r>
          </w:p>
        </w:tc>
        <w:tc>
          <w:tcPr>
            <w:tcW w:w="948" w:type="dxa"/>
            <w:tcBorders>
              <w:top w:val="single" w:color="auto" w:sz="18" w:space="0"/>
              <w:bottom w:val="single" w:color="auto" w:sz="6" w:space="0"/>
            </w:tcBorders>
            <w:noWrap w:val="0"/>
            <w:vAlign w:val="center"/>
          </w:tcPr>
          <w:p>
            <w:pPr>
              <w:spacing w:line="300" w:lineRule="auto"/>
              <w:jc w:val="center"/>
              <w:rPr>
                <w:rFonts w:ascii="宋体" w:hAnsi="宋体"/>
                <w:color w:val="auto"/>
                <w:sz w:val="24"/>
                <w:highlight w:val="none"/>
              </w:rPr>
            </w:pPr>
            <w:r>
              <w:rPr>
                <w:rFonts w:hint="eastAsia" w:ascii="宋体" w:hAnsi="宋体"/>
                <w:color w:val="auto"/>
                <w:sz w:val="24"/>
                <w:highlight w:val="none"/>
              </w:rPr>
              <w:t>交货期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 w:hRule="atLeast"/>
          <w:jc w:val="center"/>
        </w:trPr>
        <w:tc>
          <w:tcPr>
            <w:tcW w:w="809" w:type="dxa"/>
            <w:tcBorders>
              <w:top w:val="single" w:color="auto" w:sz="6" w:space="0"/>
              <w:right w:val="single" w:color="auto" w:sz="4" w:space="0"/>
            </w:tcBorders>
            <w:noWrap w:val="0"/>
            <w:vAlign w:val="center"/>
          </w:tcPr>
          <w:p>
            <w:pPr>
              <w:spacing w:line="300" w:lineRule="auto"/>
              <w:jc w:val="center"/>
              <w:rPr>
                <w:rFonts w:ascii="宋体" w:hAnsi="宋体"/>
                <w:color w:val="auto"/>
                <w:sz w:val="24"/>
                <w:highlight w:val="none"/>
              </w:rPr>
            </w:pPr>
          </w:p>
        </w:tc>
        <w:tc>
          <w:tcPr>
            <w:tcW w:w="808" w:type="dxa"/>
            <w:tcBorders>
              <w:top w:val="single" w:color="auto" w:sz="6" w:space="0"/>
              <w:left w:val="single" w:color="auto" w:sz="4" w:space="0"/>
            </w:tcBorders>
            <w:noWrap w:val="0"/>
            <w:vAlign w:val="center"/>
          </w:tcPr>
          <w:p>
            <w:pPr>
              <w:spacing w:line="300" w:lineRule="auto"/>
              <w:jc w:val="center"/>
              <w:rPr>
                <w:rFonts w:ascii="宋体" w:hAnsi="宋体"/>
                <w:color w:val="auto"/>
                <w:sz w:val="24"/>
                <w:highlight w:val="none"/>
              </w:rPr>
            </w:pPr>
          </w:p>
        </w:tc>
        <w:tc>
          <w:tcPr>
            <w:tcW w:w="924" w:type="dxa"/>
            <w:tcBorders>
              <w:top w:val="single" w:color="auto" w:sz="6" w:space="0"/>
            </w:tcBorders>
            <w:noWrap w:val="0"/>
            <w:vAlign w:val="center"/>
          </w:tcPr>
          <w:p>
            <w:pPr>
              <w:spacing w:line="300" w:lineRule="auto"/>
              <w:jc w:val="center"/>
              <w:rPr>
                <w:rFonts w:ascii="宋体" w:hAnsi="宋体"/>
                <w:color w:val="auto"/>
                <w:sz w:val="24"/>
                <w:highlight w:val="none"/>
              </w:rPr>
            </w:pPr>
          </w:p>
        </w:tc>
        <w:tc>
          <w:tcPr>
            <w:tcW w:w="924" w:type="dxa"/>
            <w:tcBorders>
              <w:top w:val="single" w:color="auto" w:sz="6" w:space="0"/>
            </w:tcBorders>
            <w:noWrap w:val="0"/>
            <w:vAlign w:val="center"/>
          </w:tcPr>
          <w:p>
            <w:pPr>
              <w:spacing w:line="300" w:lineRule="auto"/>
              <w:jc w:val="center"/>
              <w:rPr>
                <w:rFonts w:ascii="宋体" w:hAnsi="宋体"/>
                <w:color w:val="auto"/>
                <w:sz w:val="24"/>
                <w:highlight w:val="none"/>
              </w:rPr>
            </w:pPr>
          </w:p>
        </w:tc>
        <w:tc>
          <w:tcPr>
            <w:tcW w:w="1382" w:type="dxa"/>
            <w:tcBorders>
              <w:top w:val="single" w:color="auto" w:sz="6" w:space="0"/>
              <w:right w:val="single" w:color="auto" w:sz="4" w:space="0"/>
            </w:tcBorders>
            <w:noWrap w:val="0"/>
            <w:vAlign w:val="center"/>
          </w:tcPr>
          <w:p>
            <w:pPr>
              <w:pStyle w:val="16"/>
              <w:jc w:val="center"/>
              <w:rPr>
                <w:color w:val="auto"/>
                <w:highlight w:val="none"/>
              </w:rPr>
            </w:pPr>
          </w:p>
        </w:tc>
        <w:tc>
          <w:tcPr>
            <w:tcW w:w="862" w:type="dxa"/>
            <w:tcBorders>
              <w:top w:val="single" w:color="auto" w:sz="6" w:space="0"/>
              <w:left w:val="single" w:color="auto" w:sz="4" w:space="0"/>
              <w:right w:val="single" w:color="auto" w:sz="4" w:space="0"/>
            </w:tcBorders>
            <w:noWrap w:val="0"/>
            <w:vAlign w:val="center"/>
          </w:tcPr>
          <w:p>
            <w:pPr>
              <w:pStyle w:val="16"/>
              <w:jc w:val="center"/>
              <w:rPr>
                <w:color w:val="auto"/>
                <w:highlight w:val="none"/>
              </w:rPr>
            </w:pPr>
          </w:p>
        </w:tc>
        <w:tc>
          <w:tcPr>
            <w:tcW w:w="742" w:type="dxa"/>
            <w:tcBorders>
              <w:top w:val="single" w:color="auto" w:sz="6" w:space="0"/>
              <w:left w:val="single" w:color="auto" w:sz="4" w:space="0"/>
            </w:tcBorders>
            <w:noWrap w:val="0"/>
            <w:vAlign w:val="center"/>
          </w:tcPr>
          <w:p>
            <w:pPr>
              <w:pStyle w:val="16"/>
              <w:jc w:val="center"/>
              <w:rPr>
                <w:color w:val="auto"/>
                <w:highlight w:val="none"/>
              </w:rPr>
            </w:pPr>
          </w:p>
        </w:tc>
        <w:tc>
          <w:tcPr>
            <w:tcW w:w="976" w:type="dxa"/>
            <w:tcBorders>
              <w:top w:val="single" w:color="auto" w:sz="6" w:space="0"/>
            </w:tcBorders>
            <w:noWrap w:val="0"/>
            <w:vAlign w:val="center"/>
          </w:tcPr>
          <w:p>
            <w:pPr>
              <w:pStyle w:val="16"/>
              <w:jc w:val="center"/>
              <w:rPr>
                <w:color w:val="auto"/>
                <w:highlight w:val="none"/>
              </w:rPr>
            </w:pPr>
          </w:p>
        </w:tc>
        <w:tc>
          <w:tcPr>
            <w:tcW w:w="976" w:type="dxa"/>
            <w:tcBorders>
              <w:top w:val="single" w:color="auto" w:sz="6" w:space="0"/>
            </w:tcBorders>
            <w:noWrap w:val="0"/>
            <w:vAlign w:val="center"/>
          </w:tcPr>
          <w:p>
            <w:pPr>
              <w:spacing w:line="300" w:lineRule="auto"/>
              <w:jc w:val="center"/>
              <w:rPr>
                <w:rFonts w:ascii="宋体" w:hAnsi="宋体"/>
                <w:color w:val="auto"/>
                <w:sz w:val="24"/>
                <w:highlight w:val="none"/>
              </w:rPr>
            </w:pPr>
          </w:p>
        </w:tc>
        <w:tc>
          <w:tcPr>
            <w:tcW w:w="948" w:type="dxa"/>
            <w:tcBorders>
              <w:top w:val="single" w:color="auto" w:sz="6" w:space="0"/>
            </w:tcBorders>
            <w:noWrap w:val="0"/>
            <w:vAlign w:val="center"/>
          </w:tcPr>
          <w:p>
            <w:pPr>
              <w:spacing w:line="300" w:lineRule="auto"/>
              <w:jc w:val="center"/>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 w:hRule="atLeast"/>
          <w:jc w:val="center"/>
        </w:trPr>
        <w:tc>
          <w:tcPr>
            <w:tcW w:w="809" w:type="dxa"/>
            <w:tcBorders>
              <w:right w:val="single" w:color="auto" w:sz="4" w:space="0"/>
            </w:tcBorders>
            <w:noWrap w:val="0"/>
            <w:vAlign w:val="center"/>
          </w:tcPr>
          <w:p>
            <w:pPr>
              <w:spacing w:line="300" w:lineRule="auto"/>
              <w:jc w:val="center"/>
              <w:rPr>
                <w:rFonts w:ascii="宋体" w:hAnsi="宋体"/>
                <w:color w:val="auto"/>
                <w:sz w:val="24"/>
                <w:highlight w:val="none"/>
              </w:rPr>
            </w:pPr>
          </w:p>
        </w:tc>
        <w:tc>
          <w:tcPr>
            <w:tcW w:w="808" w:type="dxa"/>
            <w:tcBorders>
              <w:left w:val="single" w:color="auto" w:sz="4" w:space="0"/>
            </w:tcBorders>
            <w:noWrap w:val="0"/>
            <w:vAlign w:val="center"/>
          </w:tcPr>
          <w:p>
            <w:pPr>
              <w:spacing w:line="300" w:lineRule="auto"/>
              <w:jc w:val="center"/>
              <w:rPr>
                <w:rFonts w:ascii="宋体" w:hAnsi="宋体"/>
                <w:color w:val="auto"/>
                <w:sz w:val="24"/>
                <w:highlight w:val="none"/>
              </w:rPr>
            </w:pPr>
          </w:p>
        </w:tc>
        <w:tc>
          <w:tcPr>
            <w:tcW w:w="924" w:type="dxa"/>
            <w:noWrap w:val="0"/>
            <w:vAlign w:val="center"/>
          </w:tcPr>
          <w:p>
            <w:pPr>
              <w:spacing w:line="300" w:lineRule="auto"/>
              <w:jc w:val="center"/>
              <w:rPr>
                <w:rFonts w:ascii="宋体" w:hAnsi="宋体"/>
                <w:color w:val="auto"/>
                <w:sz w:val="24"/>
                <w:highlight w:val="none"/>
              </w:rPr>
            </w:pPr>
          </w:p>
        </w:tc>
        <w:tc>
          <w:tcPr>
            <w:tcW w:w="924" w:type="dxa"/>
            <w:noWrap w:val="0"/>
            <w:vAlign w:val="center"/>
          </w:tcPr>
          <w:p>
            <w:pPr>
              <w:spacing w:line="300" w:lineRule="auto"/>
              <w:jc w:val="center"/>
              <w:rPr>
                <w:rFonts w:ascii="宋体" w:hAnsi="宋体"/>
                <w:color w:val="auto"/>
                <w:sz w:val="24"/>
                <w:highlight w:val="none"/>
              </w:rPr>
            </w:pPr>
          </w:p>
        </w:tc>
        <w:tc>
          <w:tcPr>
            <w:tcW w:w="1382" w:type="dxa"/>
            <w:tcBorders>
              <w:right w:val="single" w:color="auto" w:sz="4" w:space="0"/>
            </w:tcBorders>
            <w:noWrap w:val="0"/>
            <w:vAlign w:val="center"/>
          </w:tcPr>
          <w:p>
            <w:pPr>
              <w:spacing w:line="300" w:lineRule="auto"/>
              <w:jc w:val="center"/>
              <w:rPr>
                <w:rFonts w:ascii="宋体" w:hAnsi="宋体"/>
                <w:color w:val="auto"/>
                <w:sz w:val="24"/>
                <w:highlight w:val="none"/>
              </w:rPr>
            </w:pPr>
          </w:p>
        </w:tc>
        <w:tc>
          <w:tcPr>
            <w:tcW w:w="862" w:type="dxa"/>
            <w:tcBorders>
              <w:left w:val="single" w:color="auto" w:sz="4" w:space="0"/>
              <w:right w:val="single" w:color="auto" w:sz="4" w:space="0"/>
            </w:tcBorders>
            <w:noWrap w:val="0"/>
            <w:vAlign w:val="center"/>
          </w:tcPr>
          <w:p>
            <w:pPr>
              <w:spacing w:line="300" w:lineRule="auto"/>
              <w:jc w:val="center"/>
              <w:rPr>
                <w:rFonts w:ascii="宋体" w:hAnsi="宋体"/>
                <w:color w:val="auto"/>
                <w:sz w:val="24"/>
                <w:highlight w:val="none"/>
              </w:rPr>
            </w:pPr>
          </w:p>
        </w:tc>
        <w:tc>
          <w:tcPr>
            <w:tcW w:w="742" w:type="dxa"/>
            <w:tcBorders>
              <w:left w:val="single" w:color="auto" w:sz="4" w:space="0"/>
            </w:tcBorders>
            <w:noWrap w:val="0"/>
            <w:vAlign w:val="center"/>
          </w:tcPr>
          <w:p>
            <w:pPr>
              <w:spacing w:line="300" w:lineRule="auto"/>
              <w:jc w:val="center"/>
              <w:rPr>
                <w:rFonts w:ascii="宋体" w:hAnsi="宋体"/>
                <w:color w:val="auto"/>
                <w:sz w:val="24"/>
                <w:highlight w:val="none"/>
              </w:rPr>
            </w:pPr>
          </w:p>
        </w:tc>
        <w:tc>
          <w:tcPr>
            <w:tcW w:w="976" w:type="dxa"/>
            <w:noWrap w:val="0"/>
            <w:vAlign w:val="center"/>
          </w:tcPr>
          <w:p>
            <w:pPr>
              <w:spacing w:line="300" w:lineRule="auto"/>
              <w:jc w:val="center"/>
              <w:rPr>
                <w:rFonts w:ascii="宋体" w:hAnsi="宋体"/>
                <w:color w:val="auto"/>
                <w:sz w:val="24"/>
                <w:highlight w:val="none"/>
              </w:rPr>
            </w:pPr>
          </w:p>
        </w:tc>
        <w:tc>
          <w:tcPr>
            <w:tcW w:w="976" w:type="dxa"/>
            <w:noWrap w:val="0"/>
            <w:vAlign w:val="center"/>
          </w:tcPr>
          <w:p>
            <w:pPr>
              <w:spacing w:line="300" w:lineRule="auto"/>
              <w:jc w:val="center"/>
              <w:rPr>
                <w:rFonts w:ascii="宋体" w:hAnsi="宋体"/>
                <w:color w:val="auto"/>
                <w:sz w:val="24"/>
                <w:highlight w:val="none"/>
              </w:rPr>
            </w:pPr>
          </w:p>
        </w:tc>
        <w:tc>
          <w:tcPr>
            <w:tcW w:w="948" w:type="dxa"/>
            <w:noWrap w:val="0"/>
            <w:vAlign w:val="center"/>
          </w:tcPr>
          <w:p>
            <w:pPr>
              <w:spacing w:line="300" w:lineRule="auto"/>
              <w:jc w:val="center"/>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 w:hRule="atLeast"/>
          <w:jc w:val="center"/>
        </w:trPr>
        <w:tc>
          <w:tcPr>
            <w:tcW w:w="809" w:type="dxa"/>
            <w:tcBorders>
              <w:right w:val="single" w:color="auto" w:sz="4" w:space="0"/>
            </w:tcBorders>
            <w:noWrap w:val="0"/>
            <w:vAlign w:val="center"/>
          </w:tcPr>
          <w:p>
            <w:pPr>
              <w:spacing w:line="300" w:lineRule="auto"/>
              <w:jc w:val="center"/>
              <w:rPr>
                <w:rFonts w:ascii="宋体" w:hAnsi="宋体"/>
                <w:color w:val="auto"/>
                <w:sz w:val="24"/>
                <w:highlight w:val="none"/>
              </w:rPr>
            </w:pPr>
          </w:p>
        </w:tc>
        <w:tc>
          <w:tcPr>
            <w:tcW w:w="808" w:type="dxa"/>
            <w:tcBorders>
              <w:left w:val="single" w:color="auto" w:sz="4" w:space="0"/>
            </w:tcBorders>
            <w:noWrap w:val="0"/>
            <w:vAlign w:val="center"/>
          </w:tcPr>
          <w:p>
            <w:pPr>
              <w:spacing w:line="300" w:lineRule="auto"/>
              <w:jc w:val="center"/>
              <w:rPr>
                <w:rFonts w:ascii="宋体" w:hAnsi="宋体"/>
                <w:color w:val="auto"/>
                <w:sz w:val="24"/>
                <w:highlight w:val="none"/>
              </w:rPr>
            </w:pPr>
          </w:p>
        </w:tc>
        <w:tc>
          <w:tcPr>
            <w:tcW w:w="924" w:type="dxa"/>
            <w:noWrap w:val="0"/>
            <w:vAlign w:val="center"/>
          </w:tcPr>
          <w:p>
            <w:pPr>
              <w:spacing w:line="300" w:lineRule="auto"/>
              <w:jc w:val="center"/>
              <w:rPr>
                <w:rFonts w:ascii="宋体" w:hAnsi="宋体"/>
                <w:color w:val="auto"/>
                <w:sz w:val="24"/>
                <w:highlight w:val="none"/>
              </w:rPr>
            </w:pPr>
          </w:p>
        </w:tc>
        <w:tc>
          <w:tcPr>
            <w:tcW w:w="924" w:type="dxa"/>
            <w:noWrap w:val="0"/>
            <w:vAlign w:val="center"/>
          </w:tcPr>
          <w:p>
            <w:pPr>
              <w:spacing w:line="300" w:lineRule="auto"/>
              <w:jc w:val="center"/>
              <w:rPr>
                <w:rFonts w:ascii="宋体" w:hAnsi="宋体"/>
                <w:color w:val="auto"/>
                <w:sz w:val="24"/>
                <w:highlight w:val="none"/>
              </w:rPr>
            </w:pPr>
          </w:p>
        </w:tc>
        <w:tc>
          <w:tcPr>
            <w:tcW w:w="1382" w:type="dxa"/>
            <w:tcBorders>
              <w:right w:val="single" w:color="auto" w:sz="4" w:space="0"/>
            </w:tcBorders>
            <w:noWrap w:val="0"/>
            <w:vAlign w:val="center"/>
          </w:tcPr>
          <w:p>
            <w:pPr>
              <w:spacing w:line="300" w:lineRule="auto"/>
              <w:jc w:val="center"/>
              <w:rPr>
                <w:rFonts w:ascii="宋体" w:hAnsi="宋体"/>
                <w:color w:val="auto"/>
                <w:sz w:val="24"/>
                <w:highlight w:val="none"/>
              </w:rPr>
            </w:pPr>
          </w:p>
        </w:tc>
        <w:tc>
          <w:tcPr>
            <w:tcW w:w="862" w:type="dxa"/>
            <w:tcBorders>
              <w:left w:val="single" w:color="auto" w:sz="4" w:space="0"/>
              <w:right w:val="single" w:color="auto" w:sz="4" w:space="0"/>
            </w:tcBorders>
            <w:noWrap w:val="0"/>
            <w:vAlign w:val="center"/>
          </w:tcPr>
          <w:p>
            <w:pPr>
              <w:spacing w:line="300" w:lineRule="auto"/>
              <w:jc w:val="center"/>
              <w:rPr>
                <w:rFonts w:ascii="宋体" w:hAnsi="宋体"/>
                <w:color w:val="auto"/>
                <w:sz w:val="24"/>
                <w:highlight w:val="none"/>
              </w:rPr>
            </w:pPr>
          </w:p>
        </w:tc>
        <w:tc>
          <w:tcPr>
            <w:tcW w:w="742" w:type="dxa"/>
            <w:tcBorders>
              <w:left w:val="single" w:color="auto" w:sz="4" w:space="0"/>
            </w:tcBorders>
            <w:noWrap w:val="0"/>
            <w:vAlign w:val="center"/>
          </w:tcPr>
          <w:p>
            <w:pPr>
              <w:spacing w:line="300" w:lineRule="auto"/>
              <w:jc w:val="center"/>
              <w:rPr>
                <w:rFonts w:ascii="宋体" w:hAnsi="宋体"/>
                <w:color w:val="auto"/>
                <w:sz w:val="24"/>
                <w:highlight w:val="none"/>
              </w:rPr>
            </w:pPr>
          </w:p>
        </w:tc>
        <w:tc>
          <w:tcPr>
            <w:tcW w:w="976" w:type="dxa"/>
            <w:noWrap w:val="0"/>
            <w:vAlign w:val="center"/>
          </w:tcPr>
          <w:p>
            <w:pPr>
              <w:spacing w:line="300" w:lineRule="auto"/>
              <w:jc w:val="center"/>
              <w:rPr>
                <w:rFonts w:ascii="宋体" w:hAnsi="宋体"/>
                <w:color w:val="auto"/>
                <w:sz w:val="24"/>
                <w:highlight w:val="none"/>
              </w:rPr>
            </w:pPr>
          </w:p>
        </w:tc>
        <w:tc>
          <w:tcPr>
            <w:tcW w:w="976" w:type="dxa"/>
            <w:noWrap w:val="0"/>
            <w:vAlign w:val="center"/>
          </w:tcPr>
          <w:p>
            <w:pPr>
              <w:spacing w:line="300" w:lineRule="auto"/>
              <w:jc w:val="center"/>
              <w:rPr>
                <w:rFonts w:ascii="宋体" w:hAnsi="宋体"/>
                <w:color w:val="auto"/>
                <w:sz w:val="24"/>
                <w:highlight w:val="none"/>
              </w:rPr>
            </w:pPr>
          </w:p>
        </w:tc>
        <w:tc>
          <w:tcPr>
            <w:tcW w:w="948" w:type="dxa"/>
            <w:noWrap w:val="0"/>
            <w:vAlign w:val="center"/>
          </w:tcPr>
          <w:p>
            <w:pPr>
              <w:spacing w:line="300" w:lineRule="auto"/>
              <w:jc w:val="center"/>
              <w:rPr>
                <w:rFonts w:ascii="宋体" w:hAnsi="宋体"/>
                <w:color w:val="auto"/>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 w:hRule="atLeast"/>
          <w:jc w:val="center"/>
        </w:trPr>
        <w:tc>
          <w:tcPr>
            <w:tcW w:w="9351" w:type="dxa"/>
            <w:gridSpan w:val="10"/>
            <w:noWrap w:val="0"/>
            <w:vAlign w:val="center"/>
          </w:tcPr>
          <w:p>
            <w:pPr>
              <w:spacing w:line="300" w:lineRule="auto"/>
              <w:rPr>
                <w:rFonts w:ascii="宋体" w:hAnsi="宋体"/>
                <w:color w:val="auto"/>
                <w:sz w:val="24"/>
                <w:highlight w:val="none"/>
              </w:rPr>
            </w:pPr>
            <w:r>
              <w:rPr>
                <w:rFonts w:hint="eastAsia" w:ascii="宋体" w:hAnsi="宋体"/>
                <w:color w:val="auto"/>
                <w:sz w:val="24"/>
                <w:highlight w:val="none"/>
              </w:rPr>
              <w:t>总价：                       圆整(大写)       ￥：          (小写)</w:t>
            </w:r>
          </w:p>
          <w:p>
            <w:pPr>
              <w:spacing w:line="300" w:lineRule="auto"/>
              <w:rPr>
                <w:rFonts w:ascii="宋体" w:hAnsi="宋体"/>
                <w:color w:val="auto"/>
                <w:sz w:val="24"/>
                <w:highlight w:val="none"/>
              </w:rPr>
            </w:pPr>
            <w:r>
              <w:rPr>
                <w:rFonts w:hint="eastAsia" w:ascii="宋体" w:hAnsi="宋体" w:cs="宋体"/>
                <w:b/>
                <w:bCs/>
                <w:color w:val="auto"/>
                <w:sz w:val="24"/>
                <w:highlight w:val="none"/>
              </w:rPr>
              <w:t>总价应为货物送达采购人指定地点、经采购人验收合格并交付使用及售后服务等所有可能发生的费用，包括货物制造、运输、采购保管、安装调试、国家法定送检的检验检测报告费用、上岛费、车辆购置税、车辆上牌费用、车辆保险费（含强制险、车损险、第三者险150万、车上人员每座5万、玻璃险）、税收、厂家同期相关的无偿（有价）的促销、售后服务等费用。</w:t>
            </w:r>
          </w:p>
        </w:tc>
      </w:tr>
    </w:tbl>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交货方式、地点和时间</w:t>
      </w:r>
    </w:p>
    <w:p>
      <w:pPr>
        <w:numPr>
          <w:ilvl w:val="0"/>
          <w:numId w:val="4"/>
        </w:numPr>
        <w:spacing w:line="300" w:lineRule="auto"/>
        <w:rPr>
          <w:rFonts w:ascii="宋体" w:hAnsi="宋体"/>
          <w:color w:val="auto"/>
          <w:sz w:val="24"/>
          <w:highlight w:val="none"/>
        </w:rPr>
      </w:pPr>
      <w:r>
        <w:rPr>
          <w:rFonts w:hint="eastAsia" w:ascii="宋体" w:hAnsi="宋体"/>
          <w:color w:val="auto"/>
          <w:sz w:val="24"/>
          <w:highlight w:val="none"/>
        </w:rPr>
        <w:t>交货方式：</w:t>
      </w:r>
      <w:r>
        <w:rPr>
          <w:rFonts w:hint="eastAsia" w:ascii="宋体" w:hAnsi="宋体"/>
          <w:color w:val="auto"/>
          <w:sz w:val="24"/>
          <w:highlight w:val="none"/>
          <w:u w:val="single"/>
        </w:rPr>
        <w:t xml:space="preserve">    货到现场                </w:t>
      </w:r>
    </w:p>
    <w:p>
      <w:pPr>
        <w:numPr>
          <w:ilvl w:val="0"/>
          <w:numId w:val="4"/>
        </w:numPr>
        <w:spacing w:line="300" w:lineRule="auto"/>
        <w:rPr>
          <w:rFonts w:ascii="宋体" w:hAnsi="宋体"/>
          <w:color w:val="auto"/>
          <w:sz w:val="24"/>
          <w:highlight w:val="none"/>
        </w:rPr>
      </w:pPr>
      <w:r>
        <w:rPr>
          <w:rFonts w:hint="eastAsia" w:ascii="宋体" w:hAnsi="宋体"/>
          <w:color w:val="auto"/>
          <w:sz w:val="24"/>
          <w:highlight w:val="none"/>
        </w:rPr>
        <w:t>交货地点：</w:t>
      </w:r>
      <w:r>
        <w:rPr>
          <w:rFonts w:hint="eastAsia" w:ascii="宋体" w:hAnsi="宋体"/>
          <w:color w:val="auto"/>
          <w:sz w:val="24"/>
          <w:highlight w:val="none"/>
          <w:u w:val="single"/>
        </w:rPr>
        <w:t xml:space="preserve">   福建省莆田市采购人指定地点                  </w:t>
      </w:r>
    </w:p>
    <w:p>
      <w:pPr>
        <w:numPr>
          <w:ilvl w:val="0"/>
          <w:numId w:val="4"/>
        </w:numPr>
        <w:spacing w:line="300" w:lineRule="auto"/>
        <w:rPr>
          <w:rFonts w:ascii="宋体" w:hAnsi="宋体"/>
          <w:color w:val="auto"/>
          <w:sz w:val="24"/>
          <w:highlight w:val="none"/>
        </w:rPr>
      </w:pPr>
      <w:r>
        <w:rPr>
          <w:rFonts w:hint="eastAsia" w:ascii="宋体" w:hAnsi="宋体"/>
          <w:color w:val="auto"/>
          <w:sz w:val="24"/>
          <w:highlight w:val="none"/>
        </w:rPr>
        <w:t>交货时间：</w:t>
      </w:r>
      <w:r>
        <w:rPr>
          <w:rFonts w:hint="eastAsia" w:ascii="宋体" w:hAnsi="宋体"/>
          <w:color w:val="auto"/>
          <w:sz w:val="24"/>
          <w:highlight w:val="none"/>
          <w:u w:val="single"/>
        </w:rPr>
        <w:t xml:space="preserve">  合同签订后45个日历日内全部安装调试完毕、验收合格并交付使用                      </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履约保证金</w:t>
      </w:r>
    </w:p>
    <w:p>
      <w:pPr>
        <w:spacing w:line="300" w:lineRule="auto"/>
        <w:rPr>
          <w:rFonts w:ascii="宋体" w:hAnsi="宋体"/>
          <w:color w:val="auto"/>
          <w:sz w:val="24"/>
          <w:highlight w:val="none"/>
        </w:rPr>
      </w:pPr>
      <w:r>
        <w:rPr>
          <w:rFonts w:hint="eastAsia" w:ascii="宋体" w:hAnsi="宋体"/>
          <w:color w:val="auto"/>
          <w:sz w:val="24"/>
          <w:highlight w:val="none"/>
        </w:rPr>
        <w:t xml:space="preserve">    乙方</w:t>
      </w:r>
      <w:r>
        <w:rPr>
          <w:rFonts w:hint="eastAsia" w:ascii="宋体" w:hAnsi="宋体" w:cs="宋体"/>
          <w:b/>
          <w:bCs/>
          <w:color w:val="auto"/>
          <w:sz w:val="24"/>
          <w:highlight w:val="none"/>
        </w:rPr>
        <w:t xml:space="preserve">中标后10个工作日内，在签订合同前需以银行转账、银行电汇、银行汇票或银行保函形式向招标人交纳合同总价5%的履约保证金，履约保证金待项目验收合格后一次性退还中标投标人（不计息）。 </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付款方式与条件</w:t>
      </w:r>
    </w:p>
    <w:p>
      <w:pPr>
        <w:spacing w:line="400" w:lineRule="exact"/>
        <w:ind w:firstLine="472" w:firstLineChars="196"/>
        <w:rPr>
          <w:rFonts w:hint="eastAsia" w:ascii="宋体" w:hAnsi="宋体" w:cs="宋体"/>
          <w:b/>
          <w:color w:val="auto"/>
          <w:sz w:val="24"/>
          <w:highlight w:val="none"/>
        </w:rPr>
      </w:pPr>
      <w:r>
        <w:rPr>
          <w:rFonts w:hint="eastAsia" w:ascii="宋体" w:hAnsi="宋体" w:cs="宋体"/>
          <w:b/>
          <w:color w:val="auto"/>
          <w:sz w:val="24"/>
          <w:highlight w:val="none"/>
        </w:rPr>
        <w:t>货到安装并验收合格后付款，甲方不接受需要支付预付款的投标报价。招标货物的付款条件为货到安装、验收合格并上完牌后付货款的90％，剩下的10%余款在质量保证期届满后付清。</w:t>
      </w:r>
    </w:p>
    <w:p>
      <w:pPr>
        <w:pStyle w:val="2"/>
        <w:ind w:firstLine="480" w:firstLineChars="200"/>
        <w:rPr>
          <w:rFonts w:hint="default" w:eastAsia="宋体"/>
          <w:color w:val="auto"/>
          <w:highlight w:val="none"/>
          <w:lang w:val="en-US" w:eastAsia="zh-CN"/>
        </w:rPr>
      </w:pPr>
      <w:r>
        <w:rPr>
          <w:rFonts w:hint="eastAsia"/>
          <w:color w:val="auto"/>
          <w:highlight w:val="none"/>
          <w:lang w:val="en-US" w:eastAsia="zh-CN"/>
        </w:rPr>
        <w:t>每次付款前，乙方应向甲方提供符合甲方要求的等额正式发票，否则甲方有权拒绝付款。</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质量要求和技术标准</w:t>
      </w:r>
    </w:p>
    <w:p>
      <w:pPr>
        <w:spacing w:line="300" w:lineRule="auto"/>
        <w:ind w:firstLine="480" w:firstLineChars="200"/>
        <w:rPr>
          <w:rFonts w:ascii="宋体" w:hAnsi="宋体"/>
          <w:color w:val="auto"/>
          <w:sz w:val="24"/>
          <w:highlight w:val="none"/>
        </w:rPr>
      </w:pPr>
      <w:r>
        <w:rPr>
          <w:rFonts w:hint="eastAsia" w:ascii="宋体" w:hAnsi="宋体"/>
          <w:bCs/>
          <w:color w:val="auto"/>
          <w:sz w:val="24"/>
          <w:highlight w:val="none"/>
        </w:rPr>
        <w:t>乙方提供的产品的制造标准、安装标准及技术规范等必须符合相应的国家标准，行业标准及规范要求。</w:t>
      </w:r>
    </w:p>
    <w:p>
      <w:pPr>
        <w:spacing w:line="30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乙方负责派技术人员到现场免费进行安装调试，直至验收合格；乙方应在货物运抵现场一周前，向甲方提供安装调试及运行的进度计划表，</w:t>
      </w:r>
      <w:r>
        <w:rPr>
          <w:rFonts w:hint="eastAsia" w:ascii="宋体" w:hAnsi="宋体" w:cs="宋体"/>
          <w:color w:val="auto"/>
          <w:sz w:val="24"/>
          <w:highlight w:val="none"/>
          <w:u w:val="single"/>
        </w:rPr>
        <w:t>费用由乙方承担。</w:t>
      </w:r>
    </w:p>
    <w:p>
      <w:pPr>
        <w:pStyle w:val="12"/>
        <w:snapToGrid w:val="0"/>
        <w:spacing w:line="400" w:lineRule="exact"/>
        <w:ind w:firstLine="570"/>
        <w:rPr>
          <w:rFonts w:hint="eastAsia" w:hAnsi="宋体" w:cs="宋体"/>
          <w:color w:val="auto"/>
          <w:sz w:val="24"/>
          <w:szCs w:val="24"/>
          <w:highlight w:val="none"/>
          <w:lang w:eastAsia="zh-CN"/>
        </w:rPr>
      </w:pPr>
      <w:r>
        <w:rPr>
          <w:rFonts w:hint="eastAsia" w:hAnsi="宋体" w:cs="宋体"/>
          <w:color w:val="auto"/>
          <w:sz w:val="24"/>
          <w:szCs w:val="24"/>
          <w:highlight w:val="none"/>
          <w:lang w:eastAsia="zh-CN"/>
        </w:rPr>
        <w:t>乙方</w:t>
      </w:r>
      <w:r>
        <w:rPr>
          <w:rFonts w:hint="eastAsia" w:hAnsi="宋体" w:cs="宋体"/>
          <w:color w:val="auto"/>
          <w:sz w:val="24"/>
          <w:szCs w:val="24"/>
          <w:highlight w:val="none"/>
        </w:rPr>
        <w:t>应向</w:t>
      </w:r>
      <w:r>
        <w:rPr>
          <w:rFonts w:hint="eastAsia" w:hAnsi="宋体" w:cs="宋体"/>
          <w:color w:val="auto"/>
          <w:sz w:val="24"/>
          <w:szCs w:val="24"/>
          <w:highlight w:val="none"/>
          <w:lang w:eastAsia="zh-CN"/>
        </w:rPr>
        <w:t>甲方</w:t>
      </w:r>
      <w:r>
        <w:rPr>
          <w:rFonts w:hint="eastAsia" w:hAnsi="宋体" w:cs="宋体"/>
          <w:color w:val="auto"/>
          <w:sz w:val="24"/>
          <w:szCs w:val="24"/>
          <w:highlight w:val="none"/>
        </w:rPr>
        <w:t>提供一套完整的技术资料。完整的技术资料包括：设备的出厂检验报告、合格证书、装箱单、产品验收标准（含产品合格证验收清单等）；技术说明书；使用说明书；用户手册（中文）；设备安装调试资料、维修线路原理图及其维修资料；零部件目录；配置清单、分项价格及耗材价格；备品、配件易耗品清单。如不能提供维修资料，保修期延长12个月。</w:t>
      </w:r>
    </w:p>
    <w:p>
      <w:pPr>
        <w:pStyle w:val="12"/>
        <w:snapToGrid w:val="0"/>
        <w:spacing w:line="400" w:lineRule="exact"/>
        <w:ind w:firstLine="570"/>
        <w:rPr>
          <w:rFonts w:hint="eastAsia" w:hAnsi="宋体" w:cs="宋体"/>
          <w:color w:val="auto"/>
          <w:sz w:val="24"/>
          <w:szCs w:val="24"/>
          <w:highlight w:val="none"/>
        </w:rPr>
      </w:pPr>
      <w:r>
        <w:rPr>
          <w:rFonts w:hint="eastAsia" w:hAnsi="宋体" w:cs="宋体"/>
          <w:color w:val="auto"/>
          <w:sz w:val="24"/>
          <w:szCs w:val="24"/>
          <w:highlight w:val="none"/>
          <w:lang w:eastAsia="zh-CN"/>
        </w:rPr>
        <w:t>乙方</w:t>
      </w:r>
      <w:r>
        <w:rPr>
          <w:rFonts w:hint="eastAsia" w:hAnsi="宋体" w:cs="宋体"/>
          <w:color w:val="auto"/>
          <w:sz w:val="24"/>
          <w:szCs w:val="24"/>
          <w:highlight w:val="none"/>
        </w:rPr>
        <w:t>应提供一套维修所需的专用工具及其清单。</w:t>
      </w:r>
    </w:p>
    <w:p>
      <w:pPr>
        <w:tabs>
          <w:tab w:val="left" w:pos="0"/>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乙方应提供设备在质量保证期过后一年内主要备品备件及其清单（含价格清单）。易损零部件请明码标价。</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验收</w:t>
      </w:r>
    </w:p>
    <w:p>
      <w:pPr>
        <w:tabs>
          <w:tab w:val="left" w:pos="0"/>
        </w:tabs>
        <w:spacing w:line="4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1）验收标准和验收方法：设备按国家行业标准进行验收。</w:t>
      </w:r>
    </w:p>
    <w:p>
      <w:pPr>
        <w:tabs>
          <w:tab w:val="left" w:pos="0"/>
        </w:tabs>
        <w:spacing w:line="4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 xml:space="preserve">2）产品质量达到设计要求，安装调试各项指标符合技术参数；计量设备应能通过计量部门的验收；实行现场验收，由乙方负责并会同甲方及有关专家进行验收。  </w:t>
      </w:r>
    </w:p>
    <w:p>
      <w:pPr>
        <w:tabs>
          <w:tab w:val="left" w:pos="1134"/>
        </w:tabs>
        <w:spacing w:line="400" w:lineRule="exact"/>
        <w:ind w:right="105" w:rightChars="50" w:firstLine="360" w:firstLineChars="150"/>
        <w:rPr>
          <w:rFonts w:hint="eastAsia" w:ascii="宋体" w:hAnsi="宋体" w:cs="宋体"/>
          <w:color w:val="auto"/>
          <w:sz w:val="24"/>
          <w:highlight w:val="none"/>
        </w:rPr>
      </w:pPr>
      <w:r>
        <w:rPr>
          <w:rFonts w:hint="eastAsia" w:ascii="宋体" w:hAnsi="宋体" w:cs="宋体"/>
          <w:color w:val="auto"/>
          <w:sz w:val="24"/>
          <w:highlight w:val="none"/>
        </w:rPr>
        <w:t>3）验收时乙方代表必须在场，甲方将根据招标文件要求、甲方所供货物的规格和产品标准及我国相关技术规范和技术标准进行验收。</w:t>
      </w:r>
    </w:p>
    <w:p>
      <w:pPr>
        <w:tabs>
          <w:tab w:val="left" w:pos="1134"/>
        </w:tabs>
        <w:spacing w:line="400" w:lineRule="exact"/>
        <w:ind w:right="105" w:rightChars="50" w:firstLine="360" w:firstLineChars="150"/>
        <w:rPr>
          <w:rFonts w:hint="eastAsia" w:ascii="宋体" w:hAnsi="宋体" w:cs="宋体"/>
          <w:color w:val="auto"/>
          <w:sz w:val="24"/>
          <w:highlight w:val="none"/>
        </w:rPr>
      </w:pPr>
      <w:r>
        <w:rPr>
          <w:rFonts w:hint="eastAsia" w:ascii="宋体" w:hAnsi="宋体" w:cs="宋体"/>
          <w:color w:val="auto"/>
          <w:sz w:val="24"/>
          <w:highlight w:val="none"/>
        </w:rPr>
        <w:t>4）结构、外观、制造、装配材料及工艺要求应符合招标采购要求及投标文件承诺，甲方在验收时如发现不符合招标采购要求的，甲方有权要求乙方进行换货或退货。</w:t>
      </w:r>
    </w:p>
    <w:p>
      <w:pPr>
        <w:tabs>
          <w:tab w:val="left" w:pos="0"/>
        </w:tabs>
        <w:spacing w:line="400" w:lineRule="exact"/>
        <w:ind w:firstLine="360" w:firstLineChars="150"/>
        <w:rPr>
          <w:rFonts w:hint="eastAsia" w:ascii="宋体" w:hAnsi="宋体" w:cs="宋体"/>
          <w:color w:val="auto"/>
          <w:sz w:val="24"/>
          <w:highlight w:val="none"/>
        </w:rPr>
      </w:pPr>
      <w:r>
        <w:rPr>
          <w:rFonts w:hint="eastAsia" w:ascii="宋体" w:hAnsi="宋体" w:cs="宋体"/>
          <w:color w:val="auto"/>
          <w:sz w:val="24"/>
          <w:highlight w:val="none"/>
        </w:rPr>
        <w:t>5）在甲方安装现场进行最终检验所发生的一切费用由乙方承担。</w:t>
      </w:r>
    </w:p>
    <w:p>
      <w:pPr>
        <w:tabs>
          <w:tab w:val="left" w:pos="0"/>
        </w:tabs>
        <w:spacing w:line="40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b/>
          <w:color w:val="auto"/>
          <w:sz w:val="24"/>
          <w:highlight w:val="none"/>
        </w:rPr>
        <w:t>本招标文件的技术参数和规格条款如有遗漏的，乙方应根据投标产品的特点予以补充，否则，一旦中标将认为乙方认同遗漏部分并免费提供。</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质量保证和售后服务：（具体结合投标文件再拟定）</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1）质量保证期：在货物详细要求中有特殊要求的除外，所有货物均要求在验收合格之日起免费保质期为</w:t>
      </w:r>
      <w:r>
        <w:rPr>
          <w:rFonts w:hint="eastAsia" w:ascii="宋体" w:hAnsi="宋体" w:cs="宋体"/>
          <w:b/>
          <w:bCs/>
          <w:color w:val="auto"/>
          <w:sz w:val="24"/>
          <w:highlight w:val="none"/>
        </w:rPr>
        <w:t>贰年</w:t>
      </w:r>
      <w:r>
        <w:rPr>
          <w:rFonts w:hint="eastAsia" w:ascii="宋体" w:hAnsi="宋体" w:cs="宋体"/>
          <w:color w:val="auto"/>
          <w:sz w:val="24"/>
          <w:highlight w:val="none"/>
        </w:rPr>
        <w:t>或以上(厂家或国家有更长免费质量保修期限规定的从其规定）。保质期内乙方必须保证对所有货物非人为破坏而损坏的免费保修保养。</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维修服务的响应时间：在质量保证期内系统运行发生故障时乙方在接到甲方故障通知后2小时内响应，6个小时内到达现场进行维修，24小时内解决问题；若24小时内无法排除故障，应免费向甲方提供与该设备型号、规格及技术指标相一致的备品或更新的兼容设备以保证设备正常运行。</w:t>
      </w:r>
    </w:p>
    <w:p>
      <w:pPr>
        <w:tabs>
          <w:tab w:val="left" w:pos="0"/>
        </w:tabs>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3）质量保修期后的服务要求：质量保修期结束后，乙方仍应对货物提供终身维修服务，甲方有</w:t>
      </w:r>
      <w:r>
        <w:rPr>
          <w:rFonts w:hint="eastAsia" w:ascii="宋体" w:hAnsi="宋体" w:cs="宋体"/>
          <w:color w:val="auto"/>
          <w:sz w:val="24"/>
          <w:highlight w:val="none"/>
          <w:lang w:val="en-US" w:eastAsia="zh-CN"/>
        </w:rPr>
        <w:t>权要求乙方</w:t>
      </w:r>
      <w:r>
        <w:rPr>
          <w:rFonts w:hint="eastAsia" w:ascii="宋体" w:hAnsi="宋体" w:cs="宋体"/>
          <w:color w:val="auto"/>
          <w:sz w:val="24"/>
          <w:highlight w:val="none"/>
        </w:rPr>
        <w:t>对货物在必要时进行定期维护和修理，乙方每三个月上门进行设备维护，确保设备处于最佳性能状态。换配件时只能收取配件的成本费。</w:t>
      </w:r>
    </w:p>
    <w:p>
      <w:pPr>
        <w:spacing w:line="30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4）乙方应根据甲方指定的地点免费提供所有货物的送货、安装服务。</w:t>
      </w:r>
    </w:p>
    <w:p>
      <w:pPr>
        <w:pStyle w:val="2"/>
        <w:ind w:firstLine="480" w:firstLineChars="200"/>
        <w:rPr>
          <w:rFonts w:hint="eastAsia"/>
          <w:color w:val="auto"/>
          <w:highlight w:val="none"/>
          <w:lang w:val="en-US" w:eastAsia="zh-CN"/>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验收不合格的货物，</w:t>
      </w:r>
      <w:r>
        <w:rPr>
          <w:rFonts w:hint="eastAsia" w:ascii="宋体" w:hAnsi="宋体" w:cs="宋体"/>
          <w:color w:val="auto"/>
          <w:sz w:val="24"/>
          <w:highlight w:val="none"/>
          <w:lang w:val="en-US" w:eastAsia="zh-CN"/>
        </w:rPr>
        <w:t>甲方</w:t>
      </w:r>
      <w:r>
        <w:rPr>
          <w:rFonts w:hint="eastAsia" w:ascii="宋体" w:hAnsi="宋体" w:cs="宋体"/>
          <w:color w:val="auto"/>
          <w:sz w:val="24"/>
          <w:highlight w:val="none"/>
        </w:rPr>
        <w:t>可以要求乙方无条件免费更换或退货，并赔偿由此</w:t>
      </w:r>
      <w:r>
        <w:rPr>
          <w:rFonts w:hint="eastAsia" w:ascii="宋体" w:hAnsi="宋体" w:cs="宋体"/>
          <w:color w:val="auto"/>
          <w:sz w:val="24"/>
          <w:highlight w:val="none"/>
          <w:lang w:val="en-US" w:eastAsia="zh-CN"/>
        </w:rPr>
        <w:t>给甲方</w:t>
      </w:r>
      <w:r>
        <w:rPr>
          <w:rFonts w:hint="eastAsia" w:ascii="宋体" w:hAnsi="宋体" w:cs="宋体"/>
          <w:color w:val="auto"/>
          <w:sz w:val="24"/>
          <w:highlight w:val="none"/>
        </w:rPr>
        <w:t>造</w:t>
      </w:r>
      <w:r>
        <w:rPr>
          <w:rFonts w:hint="eastAsia" w:ascii="宋体" w:hAnsi="宋体" w:cs="宋体"/>
          <w:color w:val="auto"/>
          <w:sz w:val="24"/>
          <w:highlight w:val="none"/>
          <w:lang w:val="en-US" w:eastAsia="zh-CN"/>
        </w:rPr>
        <w:t>成</w:t>
      </w:r>
      <w:r>
        <w:rPr>
          <w:rFonts w:hint="eastAsia" w:ascii="宋体" w:hAnsi="宋体" w:cs="宋体"/>
          <w:color w:val="auto"/>
          <w:sz w:val="24"/>
          <w:highlight w:val="none"/>
        </w:rPr>
        <w:t>的损失。</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专利权：</w:t>
      </w:r>
    </w:p>
    <w:p>
      <w:pPr>
        <w:spacing w:line="300" w:lineRule="auto"/>
        <w:ind w:firstLine="480" w:firstLineChars="200"/>
        <w:rPr>
          <w:rFonts w:ascii="宋体" w:hAnsi="宋体"/>
          <w:color w:val="auto"/>
          <w:sz w:val="24"/>
          <w:highlight w:val="none"/>
        </w:rPr>
      </w:pPr>
      <w:r>
        <w:rPr>
          <w:rFonts w:hint="eastAsia" w:ascii="宋体" w:hAnsi="宋体"/>
          <w:color w:val="auto"/>
          <w:sz w:val="24"/>
          <w:highlight w:val="none"/>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违约责任</w:t>
      </w:r>
    </w:p>
    <w:p>
      <w:pPr>
        <w:tabs>
          <w:tab w:val="left" w:pos="0"/>
        </w:tabs>
        <w:spacing w:line="300" w:lineRule="auto"/>
        <w:ind w:firstLine="480" w:firstLineChars="200"/>
        <w:rPr>
          <w:rFonts w:ascii="宋体" w:hAnsi="宋体"/>
          <w:color w:val="auto"/>
          <w:sz w:val="24"/>
          <w:highlight w:val="none"/>
        </w:rPr>
      </w:pPr>
      <w:r>
        <w:rPr>
          <w:rFonts w:hint="eastAsia" w:ascii="宋体" w:hAnsi="宋体"/>
          <w:color w:val="auto"/>
          <w:sz w:val="24"/>
          <w:highlight w:val="none"/>
        </w:rPr>
        <w:t>因乙方原因造成货物交货延误，每延误满一周，应向甲方支付延期交货货物价款5%的违约金。但违约金总值不超过该批(次)货物价款的20%。当乙方的某一批货物交货时间延迟满一个月时，甲方有权通知终止本合同，要求赔偿因此而造成的损失，并向甲方支付合同总价款30%违约金。</w:t>
      </w:r>
    </w:p>
    <w:p>
      <w:pPr>
        <w:tabs>
          <w:tab w:val="left" w:pos="0"/>
        </w:tabs>
        <w:spacing w:line="300" w:lineRule="auto"/>
        <w:ind w:left="368" w:leftChars="175" w:firstLine="480" w:firstLineChars="200"/>
        <w:rPr>
          <w:rFonts w:hint="eastAsia" w:ascii="宋体" w:hAnsi="宋体"/>
          <w:color w:val="auto"/>
          <w:sz w:val="24"/>
          <w:highlight w:val="none"/>
        </w:rPr>
      </w:pPr>
      <w:r>
        <w:rPr>
          <w:rFonts w:hint="eastAsia" w:ascii="宋体" w:hAnsi="宋体"/>
          <w:color w:val="auto"/>
          <w:sz w:val="24"/>
          <w:highlight w:val="none"/>
        </w:rPr>
        <w:t>当乙方发生违约时，乙方的</w:t>
      </w:r>
      <w:r>
        <w:rPr>
          <w:rFonts w:hint="eastAsia" w:ascii="宋体" w:hAnsi="宋体"/>
          <w:color w:val="auto"/>
          <w:sz w:val="24"/>
          <w:highlight w:val="none"/>
          <w:lang w:val="en-US" w:eastAsia="zh-CN"/>
        </w:rPr>
        <w:t>履约保证金、</w:t>
      </w:r>
      <w:r>
        <w:rPr>
          <w:rFonts w:hint="eastAsia" w:ascii="宋体" w:hAnsi="宋体"/>
          <w:color w:val="auto"/>
          <w:sz w:val="24"/>
          <w:highlight w:val="none"/>
        </w:rPr>
        <w:t>质量合格证金或甲方未支付的货款可以作为上述违约金的一部份、由甲方直接扣抵。</w:t>
      </w:r>
    </w:p>
    <w:p>
      <w:pPr>
        <w:rPr>
          <w:color w:val="auto"/>
          <w:highlight w:val="none"/>
        </w:rPr>
      </w:pP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违约终止合同</w:t>
      </w:r>
    </w:p>
    <w:p>
      <w:pPr>
        <w:spacing w:line="300" w:lineRule="auto"/>
        <w:ind w:firstLine="523" w:firstLineChars="218"/>
        <w:rPr>
          <w:rFonts w:ascii="宋体" w:hAnsi="宋体"/>
          <w:color w:val="auto"/>
          <w:sz w:val="24"/>
          <w:highlight w:val="none"/>
        </w:rPr>
      </w:pPr>
      <w:r>
        <w:rPr>
          <w:rFonts w:hint="eastAsia" w:ascii="宋体" w:hAnsi="宋体"/>
          <w:color w:val="auto"/>
          <w:sz w:val="24"/>
          <w:highlight w:val="none"/>
        </w:rPr>
        <w:t>因乙方在补救违约而采取的任何其他措施未能实现的情况下，即在甲方发出的违约通知后30天内(或经甲方书面确认的更长时间内)仍未纠正其下述任何一种违约行为，甲方有权向乙方发出书面违约通知，甲方终止本合同，要求中标人支付合同价款30%的违约金，并没收中标人的</w:t>
      </w:r>
      <w:r>
        <w:rPr>
          <w:rFonts w:hint="eastAsia" w:ascii="宋体" w:hAnsi="宋体"/>
          <w:color w:val="auto"/>
          <w:sz w:val="24"/>
          <w:highlight w:val="none"/>
          <w:lang w:val="en-US" w:eastAsia="zh-CN"/>
        </w:rPr>
        <w:t>履约</w:t>
      </w:r>
      <w:r>
        <w:rPr>
          <w:rFonts w:hint="eastAsia" w:ascii="宋体" w:hAnsi="宋体"/>
          <w:color w:val="auto"/>
          <w:sz w:val="24"/>
          <w:highlight w:val="none"/>
        </w:rPr>
        <w:t>保证金。合同终止日期为采购人书面违约通知落款时间：</w:t>
      </w:r>
    </w:p>
    <w:p>
      <w:pPr>
        <w:numPr>
          <w:ilvl w:val="0"/>
          <w:numId w:val="5"/>
        </w:numPr>
        <w:tabs>
          <w:tab w:val="left" w:pos="420"/>
        </w:tabs>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如果乙方未能在合同规定的期限内或双方另行确定的延期交货时间内交付合同约定的货物。</w:t>
      </w:r>
    </w:p>
    <w:p>
      <w:pPr>
        <w:pStyle w:val="2"/>
        <w:rPr>
          <w:color w:val="auto"/>
          <w:highlight w:val="none"/>
          <w:lang w:val="en-US" w:eastAsia="zh-CN"/>
        </w:rPr>
      </w:pPr>
      <w:r>
        <w:rPr>
          <w:rFonts w:hint="eastAsia"/>
          <w:color w:val="auto"/>
          <w:highlight w:val="none"/>
          <w:lang w:val="en-US" w:eastAsia="zh-CN"/>
        </w:rPr>
        <w:t xml:space="preserve"> </w:t>
      </w:r>
      <w:r>
        <w:rPr>
          <w:rFonts w:hint="eastAsia" w:ascii="宋体" w:hAnsi="宋体"/>
          <w:color w:val="auto"/>
          <w:sz w:val="24"/>
          <w:highlight w:val="none"/>
          <w:lang w:val="en-US" w:eastAsia="zh-CN"/>
        </w:rPr>
        <w:t xml:space="preserve">   2、乙方提供的货物不能通过甲方验收或在甲方验收未通过的情况下未能再次提供符合甲方要求的货物。</w:t>
      </w:r>
    </w:p>
    <w:p>
      <w:pPr>
        <w:tabs>
          <w:tab w:val="left" w:pos="420"/>
        </w:tabs>
        <w:spacing w:line="300" w:lineRule="auto"/>
        <w:ind w:left="420" w:leftChars="200" w:firstLine="120" w:firstLineChars="50"/>
        <w:rPr>
          <w:rFonts w:ascii="宋体" w:hAnsi="宋体"/>
          <w:color w:val="auto"/>
          <w:sz w:val="24"/>
          <w:highlight w:val="none"/>
        </w:rPr>
      </w:pPr>
      <w:r>
        <w:rPr>
          <w:rFonts w:hint="eastAsia" w:ascii="宋体" w:hAnsi="宋体"/>
          <w:color w:val="auto"/>
          <w:sz w:val="24"/>
          <w:highlight w:val="none"/>
        </w:rPr>
        <w:t>3、乙方未能履行合同项下的任何其它义务。</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不可抗力</w:t>
      </w:r>
    </w:p>
    <w:p>
      <w:pPr>
        <w:spacing w:line="300" w:lineRule="auto"/>
        <w:ind w:firstLine="480" w:firstLineChars="200"/>
        <w:rPr>
          <w:rFonts w:ascii="宋体" w:hAnsi="宋体"/>
          <w:color w:val="auto"/>
          <w:sz w:val="24"/>
          <w:highlight w:val="none"/>
        </w:rPr>
      </w:pPr>
      <w:r>
        <w:rPr>
          <w:rFonts w:hint="eastAsia" w:ascii="宋体" w:hAnsi="宋体"/>
          <w:color w:val="auto"/>
          <w:sz w:val="24"/>
          <w:highlight w:val="none"/>
        </w:rPr>
        <w:t>因不可抗力造成违约的，遭受不可抗力一方应及时向对方通报不能履行或不能完全履行的理由，并在随后取得有关主管机关证明后的15日内向另一方提供书面的不可抗力发生以及持续期间的充分证据。基于以上行为，允许遭受不可抗力一方延期履行、部分履行或者不履行合同，并根据情况可部分或全部免于承担违约责任。</w:t>
      </w:r>
    </w:p>
    <w:p>
      <w:pPr>
        <w:spacing w:line="300" w:lineRule="auto"/>
        <w:ind w:firstLine="480" w:firstLineChars="200"/>
        <w:rPr>
          <w:rFonts w:ascii="宋体" w:hAnsi="宋体"/>
          <w:color w:val="auto"/>
          <w:sz w:val="24"/>
          <w:highlight w:val="none"/>
        </w:rPr>
      </w:pPr>
      <w:r>
        <w:rPr>
          <w:rFonts w:hint="eastAsia" w:ascii="宋体" w:hAnsi="宋体"/>
          <w:color w:val="auto"/>
          <w:sz w:val="24"/>
          <w:highlight w:val="none"/>
        </w:rPr>
        <w:t>本合同中的不可抗力指不能预见、不能避免并不能克服的客观情况。包括但不限于：自然灾害如地震、台风、洪水、火灾；政府行为、法律规定或其适用的变化或者其他任何无法预见、避免或者控制的事件。</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合同纠纷处理方式：</w:t>
      </w:r>
    </w:p>
    <w:p>
      <w:pPr>
        <w:spacing w:line="300" w:lineRule="auto"/>
        <w:ind w:firstLine="480" w:firstLineChars="200"/>
        <w:rPr>
          <w:rFonts w:ascii="宋体" w:hAnsi="宋体"/>
          <w:color w:val="auto"/>
          <w:sz w:val="24"/>
          <w:highlight w:val="none"/>
        </w:rPr>
      </w:pPr>
      <w:r>
        <w:rPr>
          <w:rFonts w:hint="eastAsia" w:ascii="宋体" w:hAnsi="宋体"/>
          <w:color w:val="auto"/>
          <w:sz w:val="24"/>
          <w:highlight w:val="none"/>
        </w:rPr>
        <w:t>因本合同或与本合同有关的一切事项发生争议，由双方友好协商解决。协商不成的，任何一方选择第二种方式解决：</w:t>
      </w:r>
    </w:p>
    <w:p>
      <w:pPr>
        <w:numPr>
          <w:ilvl w:val="0"/>
          <w:numId w:val="6"/>
        </w:numPr>
        <w:spacing w:line="300" w:lineRule="auto"/>
        <w:rPr>
          <w:rFonts w:ascii="宋体" w:hAnsi="宋体"/>
          <w:color w:val="auto"/>
          <w:sz w:val="24"/>
          <w:highlight w:val="none"/>
        </w:rPr>
      </w:pPr>
      <w:r>
        <w:rPr>
          <w:rFonts w:hint="eastAsia" w:ascii="宋体" w:hAnsi="宋体"/>
          <w:color w:val="auto"/>
          <w:sz w:val="24"/>
          <w:highlight w:val="none"/>
        </w:rPr>
        <w:t xml:space="preserve">向 </w:t>
      </w:r>
      <w:r>
        <w:rPr>
          <w:rFonts w:hint="eastAsia" w:ascii="宋体" w:hAnsi="宋体"/>
          <w:color w:val="auto"/>
          <w:sz w:val="24"/>
          <w:highlight w:val="none"/>
          <w:u w:val="single"/>
        </w:rPr>
        <w:t>(甲方所在地)</w:t>
      </w:r>
      <w:r>
        <w:rPr>
          <w:rFonts w:hint="eastAsia" w:ascii="宋体" w:hAnsi="宋体"/>
          <w:color w:val="auto"/>
          <w:sz w:val="24"/>
          <w:highlight w:val="none"/>
        </w:rPr>
        <w:t>仲裁委员会申请仲裁；</w:t>
      </w:r>
    </w:p>
    <w:p>
      <w:pPr>
        <w:numPr>
          <w:ilvl w:val="0"/>
          <w:numId w:val="6"/>
        </w:numPr>
        <w:spacing w:line="300" w:lineRule="auto"/>
        <w:rPr>
          <w:rFonts w:ascii="宋体" w:hAnsi="宋体"/>
          <w:color w:val="auto"/>
          <w:sz w:val="24"/>
          <w:highlight w:val="none"/>
        </w:rPr>
      </w:pPr>
      <w:r>
        <w:rPr>
          <w:rFonts w:hint="eastAsia" w:ascii="宋体" w:hAnsi="宋体"/>
          <w:color w:val="auto"/>
          <w:sz w:val="24"/>
          <w:highlight w:val="none"/>
        </w:rPr>
        <w:t>向</w:t>
      </w:r>
      <w:r>
        <w:rPr>
          <w:rFonts w:hint="eastAsia" w:ascii="宋体" w:hAnsi="宋体"/>
          <w:color w:val="auto"/>
          <w:sz w:val="24"/>
          <w:highlight w:val="none"/>
          <w:u w:val="single"/>
        </w:rPr>
        <w:t>(甲方所在地)</w:t>
      </w:r>
      <w:r>
        <w:rPr>
          <w:rFonts w:hint="eastAsia" w:ascii="宋体" w:hAnsi="宋体"/>
          <w:color w:val="auto"/>
          <w:sz w:val="24"/>
          <w:highlight w:val="none"/>
        </w:rPr>
        <w:t>的人民法院提起诉讼。</w:t>
      </w:r>
    </w:p>
    <w:p>
      <w:pPr>
        <w:numPr>
          <w:ilvl w:val="1"/>
          <w:numId w:val="3"/>
        </w:numPr>
        <w:spacing w:line="300" w:lineRule="auto"/>
        <w:rPr>
          <w:rFonts w:ascii="宋体" w:hAnsi="宋体"/>
          <w:b/>
          <w:color w:val="auto"/>
          <w:sz w:val="24"/>
          <w:highlight w:val="none"/>
        </w:rPr>
      </w:pPr>
      <w:r>
        <w:rPr>
          <w:rFonts w:hint="eastAsia" w:ascii="宋体" w:hAnsi="宋体"/>
          <w:b/>
          <w:color w:val="auto"/>
          <w:sz w:val="24"/>
          <w:highlight w:val="none"/>
        </w:rPr>
        <w:t>其他约定</w:t>
      </w:r>
    </w:p>
    <w:p>
      <w:pPr>
        <w:numPr>
          <w:ilvl w:val="0"/>
          <w:numId w:val="7"/>
        </w:numPr>
        <w:tabs>
          <w:tab w:val="left" w:pos="-105"/>
          <w:tab w:val="clear" w:pos="1387"/>
        </w:tabs>
        <w:spacing w:line="300" w:lineRule="auto"/>
        <w:ind w:left="0" w:firstLine="480"/>
        <w:rPr>
          <w:rFonts w:ascii="宋体" w:hAnsi="宋体"/>
          <w:color w:val="auto"/>
          <w:sz w:val="24"/>
          <w:highlight w:val="none"/>
        </w:rPr>
      </w:pPr>
      <w:r>
        <w:rPr>
          <w:rFonts w:hint="eastAsia" w:ascii="宋体" w:hAnsi="宋体"/>
          <w:color w:val="auto"/>
          <w:sz w:val="24"/>
          <w:highlight w:val="none"/>
        </w:rPr>
        <w:t>若在交付使用过程中，因乙方的质量或安装工艺等原因而造成甲方人员安全或其他损失的，乙方应承担全部赔偿责任。</w:t>
      </w:r>
    </w:p>
    <w:p>
      <w:pPr>
        <w:numPr>
          <w:ilvl w:val="0"/>
          <w:numId w:val="7"/>
        </w:numPr>
        <w:tabs>
          <w:tab w:val="left" w:pos="-105"/>
          <w:tab w:val="clear" w:pos="1387"/>
        </w:tabs>
        <w:spacing w:line="300" w:lineRule="auto"/>
        <w:ind w:left="0" w:firstLine="480"/>
        <w:rPr>
          <w:rFonts w:ascii="宋体" w:hAnsi="宋体"/>
          <w:color w:val="auto"/>
          <w:sz w:val="24"/>
          <w:highlight w:val="none"/>
        </w:rPr>
      </w:pPr>
      <w:r>
        <w:rPr>
          <w:rFonts w:hint="eastAsia" w:ascii="宋体" w:hAnsi="宋体"/>
          <w:color w:val="auto"/>
          <w:sz w:val="24"/>
          <w:highlight w:val="none"/>
        </w:rPr>
        <w:t>本采购项目的招标文件、中标人的投标文件以及相关的澄清确认函(如果有的话)均为本合同不可分割的一部分，与本合同具有同等法律效力。</w:t>
      </w:r>
    </w:p>
    <w:p>
      <w:pPr>
        <w:numPr>
          <w:ilvl w:val="0"/>
          <w:numId w:val="7"/>
        </w:numPr>
        <w:tabs>
          <w:tab w:val="left" w:pos="-105"/>
          <w:tab w:val="clear" w:pos="1387"/>
        </w:tabs>
        <w:spacing w:line="300" w:lineRule="auto"/>
        <w:ind w:left="0" w:firstLine="480"/>
        <w:rPr>
          <w:rFonts w:ascii="宋体" w:hAnsi="宋体"/>
          <w:color w:val="auto"/>
          <w:sz w:val="24"/>
          <w:highlight w:val="none"/>
        </w:rPr>
      </w:pPr>
      <w:r>
        <w:rPr>
          <w:rFonts w:hint="eastAsia" w:ascii="宋体" w:hAnsi="宋体"/>
          <w:color w:val="auto"/>
          <w:sz w:val="24"/>
          <w:highlight w:val="none"/>
        </w:rPr>
        <w:t>本合同未尽事宜，双方另行补充。</w:t>
      </w:r>
    </w:p>
    <w:p>
      <w:pPr>
        <w:numPr>
          <w:ilvl w:val="0"/>
          <w:numId w:val="7"/>
        </w:numPr>
        <w:tabs>
          <w:tab w:val="left" w:pos="-105"/>
          <w:tab w:val="clear" w:pos="1387"/>
        </w:tabs>
        <w:spacing w:line="300" w:lineRule="auto"/>
        <w:ind w:left="0" w:firstLine="480"/>
        <w:rPr>
          <w:rFonts w:ascii="宋体" w:hAnsi="宋体"/>
          <w:color w:val="auto"/>
          <w:sz w:val="24"/>
          <w:highlight w:val="none"/>
        </w:rPr>
      </w:pPr>
      <w:r>
        <w:rPr>
          <w:rFonts w:hint="eastAsia" w:ascii="宋体" w:hAnsi="宋体"/>
          <w:color w:val="auto"/>
          <w:sz w:val="24"/>
          <w:highlight w:val="none"/>
        </w:rPr>
        <w:t>本合同一式陆份，经双方授权代表签字并盖章后生效。甲方、乙方各执贰份，送</w:t>
      </w:r>
      <w:r>
        <w:rPr>
          <w:rFonts w:hint="eastAsia" w:ascii="宋体" w:hAnsi="宋体"/>
          <w:color w:val="auto"/>
          <w:sz w:val="24"/>
          <w:highlight w:val="none"/>
          <w:u w:val="single"/>
        </w:rPr>
        <w:t xml:space="preserve">(招标文件投标人须知前附表所述的招标项目行政监督部门) </w:t>
      </w:r>
      <w:r>
        <w:rPr>
          <w:rFonts w:hint="eastAsia" w:ascii="宋体" w:hAnsi="宋体"/>
          <w:color w:val="auto"/>
          <w:sz w:val="24"/>
          <w:highlight w:val="none"/>
        </w:rPr>
        <w:t>备案一份，送招标代理人存档一份，具有同等效力。</w:t>
      </w:r>
    </w:p>
    <w:p>
      <w:pPr>
        <w:spacing w:line="300" w:lineRule="auto"/>
        <w:rPr>
          <w:rFonts w:ascii="宋体" w:hAnsi="宋体"/>
          <w:color w:val="auto"/>
          <w:sz w:val="24"/>
          <w:highlight w:val="none"/>
        </w:rPr>
      </w:pPr>
    </w:p>
    <w:p>
      <w:pPr>
        <w:spacing w:line="300" w:lineRule="auto"/>
        <w:rPr>
          <w:rFonts w:ascii="宋体" w:hAnsi="宋体"/>
          <w:color w:val="auto"/>
          <w:sz w:val="24"/>
          <w:highlight w:val="none"/>
        </w:rPr>
      </w:pPr>
      <w:r>
        <w:rPr>
          <w:rFonts w:hint="eastAsia" w:ascii="宋体" w:hAnsi="宋体"/>
          <w:color w:val="auto"/>
          <w:sz w:val="24"/>
          <w:highlight w:val="none"/>
        </w:rPr>
        <w:t>甲    方：                            乙    方：</w:t>
      </w:r>
    </w:p>
    <w:p>
      <w:pPr>
        <w:spacing w:line="300" w:lineRule="auto"/>
        <w:rPr>
          <w:rFonts w:ascii="宋体" w:hAnsi="宋体"/>
          <w:color w:val="auto"/>
          <w:sz w:val="24"/>
          <w:highlight w:val="none"/>
        </w:rPr>
      </w:pPr>
      <w:r>
        <w:rPr>
          <w:rFonts w:hint="eastAsia" w:ascii="宋体" w:hAnsi="宋体"/>
          <w:color w:val="auto"/>
          <w:sz w:val="24"/>
          <w:highlight w:val="none"/>
        </w:rPr>
        <w:t>单位地址：                            单位地址：</w:t>
      </w:r>
    </w:p>
    <w:p>
      <w:pPr>
        <w:spacing w:line="300" w:lineRule="auto"/>
        <w:rPr>
          <w:rFonts w:ascii="宋体" w:hAnsi="宋体"/>
          <w:color w:val="auto"/>
          <w:sz w:val="24"/>
          <w:highlight w:val="none"/>
        </w:rPr>
      </w:pPr>
      <w:r>
        <w:rPr>
          <w:rFonts w:hint="eastAsia" w:ascii="宋体" w:hAnsi="宋体"/>
          <w:color w:val="auto"/>
          <w:sz w:val="24"/>
          <w:highlight w:val="none"/>
        </w:rPr>
        <w:t>商务代表：                            法定代表人：</w:t>
      </w:r>
    </w:p>
    <w:p>
      <w:pPr>
        <w:spacing w:line="300" w:lineRule="auto"/>
        <w:rPr>
          <w:rFonts w:ascii="宋体" w:hAnsi="宋体"/>
          <w:color w:val="auto"/>
          <w:sz w:val="24"/>
          <w:highlight w:val="none"/>
        </w:rPr>
      </w:pPr>
      <w:r>
        <w:rPr>
          <w:rFonts w:hint="eastAsia" w:ascii="宋体" w:hAnsi="宋体"/>
          <w:color w:val="auto"/>
          <w:sz w:val="24"/>
          <w:highlight w:val="none"/>
        </w:rPr>
        <w:t>委托代理人：                          委托代理人：</w:t>
      </w:r>
    </w:p>
    <w:p>
      <w:pPr>
        <w:spacing w:line="300" w:lineRule="auto"/>
        <w:rPr>
          <w:rFonts w:ascii="宋体" w:hAnsi="宋体"/>
          <w:color w:val="auto"/>
          <w:sz w:val="24"/>
          <w:highlight w:val="none"/>
        </w:rPr>
      </w:pPr>
      <w:r>
        <w:rPr>
          <w:rFonts w:hint="eastAsia" w:ascii="宋体" w:hAnsi="宋体"/>
          <w:color w:val="auto"/>
          <w:sz w:val="24"/>
          <w:highlight w:val="none"/>
        </w:rPr>
        <w:t>手机/电话：                           手机/电话：</w:t>
      </w:r>
    </w:p>
    <w:p>
      <w:pPr>
        <w:spacing w:line="300" w:lineRule="auto"/>
        <w:rPr>
          <w:rFonts w:ascii="宋体" w:hAnsi="宋体"/>
          <w:color w:val="auto"/>
          <w:sz w:val="24"/>
          <w:highlight w:val="none"/>
        </w:rPr>
      </w:pPr>
      <w:r>
        <w:rPr>
          <w:rFonts w:hint="eastAsia" w:ascii="宋体" w:hAnsi="宋体"/>
          <w:color w:val="auto"/>
          <w:sz w:val="24"/>
          <w:highlight w:val="none"/>
        </w:rPr>
        <w:t>开户银行：                            开户银行：</w:t>
      </w:r>
    </w:p>
    <w:p>
      <w:pPr>
        <w:spacing w:line="300" w:lineRule="auto"/>
        <w:rPr>
          <w:rFonts w:ascii="宋体" w:hAnsi="宋体"/>
          <w:color w:val="auto"/>
          <w:sz w:val="24"/>
          <w:highlight w:val="none"/>
        </w:rPr>
      </w:pPr>
      <w:r>
        <w:rPr>
          <w:rFonts w:hint="eastAsia" w:ascii="宋体" w:hAnsi="宋体"/>
          <w:color w:val="auto"/>
          <w:sz w:val="24"/>
          <w:highlight w:val="none"/>
        </w:rPr>
        <w:t>账    号：                            账    号：</w:t>
      </w:r>
    </w:p>
    <w:p>
      <w:pPr>
        <w:pStyle w:val="8"/>
        <w:snapToGrid w:val="0"/>
        <w:spacing w:line="360" w:lineRule="auto"/>
        <w:ind w:firstLine="1680" w:firstLineChars="700"/>
        <w:rPr>
          <w:color w:val="auto"/>
          <w:sz w:val="24"/>
          <w:highlight w:val="none"/>
        </w:rPr>
      </w:pPr>
      <w:r>
        <w:rPr>
          <w:rFonts w:hint="eastAsia" w:cs="楷体"/>
          <w:color w:val="auto"/>
          <w:sz w:val="24"/>
          <w:highlight w:val="none"/>
        </w:rPr>
        <w:t>见证单位：                （盖章）</w:t>
      </w:r>
    </w:p>
    <w:p>
      <w:pPr>
        <w:pStyle w:val="8"/>
        <w:snapToGrid w:val="0"/>
        <w:spacing w:line="360" w:lineRule="auto"/>
        <w:ind w:firstLine="1200" w:firstLineChars="500"/>
        <w:rPr>
          <w:rFonts w:hint="eastAsia"/>
          <w:color w:val="auto"/>
          <w:highlight w:val="none"/>
        </w:rPr>
      </w:pPr>
      <w:r>
        <w:rPr>
          <w:rFonts w:hint="eastAsia" w:cs="楷体"/>
          <w:color w:val="auto"/>
          <w:sz w:val="24"/>
          <w:highlight w:val="none"/>
        </w:rPr>
        <w:t>见证日期：</w:t>
      </w:r>
      <w:r>
        <w:rPr>
          <w:rFonts w:cs="楷体"/>
          <w:color w:val="auto"/>
          <w:sz w:val="24"/>
          <w:highlight w:val="none"/>
        </w:rPr>
        <w:t xml:space="preserve">      </w:t>
      </w:r>
      <w:r>
        <w:rPr>
          <w:rFonts w:hint="eastAsia" w:cs="楷体"/>
          <w:color w:val="auto"/>
          <w:sz w:val="24"/>
          <w:highlight w:val="none"/>
        </w:rPr>
        <w:t>年</w:t>
      </w:r>
      <w:r>
        <w:rPr>
          <w:rFonts w:cs="楷体"/>
          <w:color w:val="auto"/>
          <w:sz w:val="24"/>
          <w:highlight w:val="none"/>
        </w:rPr>
        <w:t xml:space="preserve">      </w:t>
      </w:r>
      <w:r>
        <w:rPr>
          <w:rFonts w:hint="eastAsia" w:cs="楷体"/>
          <w:color w:val="auto"/>
          <w:sz w:val="24"/>
          <w:highlight w:val="none"/>
        </w:rPr>
        <w:t>月</w:t>
      </w:r>
      <w:r>
        <w:rPr>
          <w:rFonts w:cs="楷体"/>
          <w:color w:val="auto"/>
          <w:sz w:val="24"/>
          <w:highlight w:val="none"/>
        </w:rPr>
        <w:t xml:space="preserve">     </w:t>
      </w:r>
      <w:r>
        <w:rPr>
          <w:rFonts w:hint="eastAsia" w:cs="楷体"/>
          <w:color w:val="auto"/>
          <w:sz w:val="24"/>
          <w:highlight w:val="none"/>
        </w:rPr>
        <w:t>日</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color w:val="auto"/>
          <w:spacing w:val="0"/>
          <w:sz w:val="24"/>
          <w:szCs w:val="24"/>
          <w:highlight w:val="none"/>
        </w:rPr>
        <w:t> </w:t>
      </w:r>
    </w:p>
    <w:p>
      <w:pPr>
        <w:pStyle w:val="16"/>
        <w:keepNext w:val="0"/>
        <w:keepLines w:val="0"/>
        <w:widowControl/>
        <w:suppressLineNumbers w:val="0"/>
        <w:spacing w:before="75" w:beforeAutospacing="0" w:after="75" w:afterAutospacing="0"/>
        <w:ind w:left="0" w:right="0" w:firstLine="0"/>
        <w:jc w:val="center"/>
        <w:rPr>
          <w:color w:val="auto"/>
          <w:highlight w:val="none"/>
        </w:rPr>
      </w:pPr>
      <w:r>
        <w:rPr>
          <w:color w:val="auto"/>
          <w:spacing w:val="0"/>
          <w:sz w:val="24"/>
          <w:szCs w:val="24"/>
          <w:highlight w:val="none"/>
        </w:rPr>
        <w:t> </w:t>
      </w:r>
    </w:p>
    <w:p>
      <w:pPr>
        <w:pStyle w:val="16"/>
        <w:keepNext w:val="0"/>
        <w:keepLines w:val="0"/>
        <w:widowControl/>
        <w:suppressLineNumbers w:val="0"/>
        <w:spacing w:before="75" w:beforeAutospacing="0" w:after="240" w:afterAutospacing="0"/>
        <w:ind w:left="0" w:right="0" w:firstLine="0"/>
        <w:rPr>
          <w:color w:val="auto"/>
          <w:spacing w:val="0"/>
          <w:sz w:val="24"/>
          <w:szCs w:val="24"/>
          <w:highlight w:val="none"/>
        </w:rPr>
      </w:pPr>
      <w:r>
        <w:rPr>
          <w:color w:val="auto"/>
          <w:spacing w:val="0"/>
          <w:sz w:val="24"/>
          <w:szCs w:val="24"/>
          <w:highlight w:val="none"/>
        </w:rPr>
        <w:t> </w:t>
      </w:r>
    </w:p>
    <w:p>
      <w:pPr>
        <w:rPr>
          <w:color w:val="auto"/>
          <w:spacing w:val="0"/>
          <w:sz w:val="24"/>
          <w:szCs w:val="24"/>
          <w:highlight w:val="none"/>
        </w:rPr>
      </w:pPr>
      <w:r>
        <w:rPr>
          <w:color w:val="auto"/>
          <w:spacing w:val="0"/>
          <w:sz w:val="24"/>
          <w:szCs w:val="24"/>
          <w:highlight w:val="none"/>
        </w:rPr>
        <w:br w:type="page"/>
      </w:r>
    </w:p>
    <w:p>
      <w:pPr>
        <w:rPr>
          <w:color w:val="auto"/>
          <w:highlight w:val="none"/>
        </w:rPr>
      </w:pPr>
    </w:p>
    <w:p>
      <w:pPr>
        <w:pStyle w:val="16"/>
        <w:keepNext w:val="0"/>
        <w:keepLines w:val="0"/>
        <w:widowControl/>
        <w:suppressLineNumbers w:val="0"/>
        <w:spacing w:before="75" w:beforeAutospacing="0" w:after="75" w:afterAutospacing="0"/>
        <w:ind w:left="0" w:right="0" w:firstLine="0"/>
        <w:jc w:val="center"/>
        <w:rPr>
          <w:color w:val="auto"/>
          <w:highlight w:val="none"/>
        </w:rPr>
      </w:pPr>
      <w:r>
        <w:rPr>
          <w:rStyle w:val="22"/>
          <w:rFonts w:hint="eastAsia" w:ascii="宋体" w:hAnsi="宋体" w:eastAsia="宋体" w:cs="宋体"/>
          <w:color w:val="auto"/>
          <w:spacing w:val="0"/>
          <w:sz w:val="31"/>
          <w:szCs w:val="31"/>
          <w:highlight w:val="none"/>
        </w:rPr>
        <w:t>第七章   投标文件格式</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4"/>
          <w:szCs w:val="24"/>
          <w:highlight w:val="none"/>
        </w:rPr>
        <w:t>编制说明</w:t>
      </w:r>
    </w:p>
    <w:p>
      <w:pPr>
        <w:pStyle w:val="16"/>
        <w:keepNext w:val="0"/>
        <w:keepLines w:val="0"/>
        <w:widowControl/>
        <w:suppressLineNumbers w:val="0"/>
        <w:rPr>
          <w:color w:val="auto"/>
          <w:highlight w:val="none"/>
        </w:rPr>
      </w:pPr>
      <w:r>
        <w:rPr>
          <w:rFonts w:hint="eastAsia" w:ascii="宋体" w:hAnsi="宋体" w:eastAsia="宋体" w:cs="宋体"/>
          <w:color w:val="auto"/>
          <w:sz w:val="24"/>
          <w:szCs w:val="24"/>
          <w:highlight w:val="none"/>
        </w:rPr>
        <w:t> </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1、除招标文件另有规定外，本章中：</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1.1涉及投标人的</w:t>
      </w:r>
      <w:r>
        <w:rPr>
          <w:rStyle w:val="22"/>
          <w:rFonts w:hint="eastAsia" w:ascii="宋体" w:hAnsi="宋体" w:eastAsia="宋体" w:cs="宋体"/>
          <w:color w:val="auto"/>
          <w:sz w:val="24"/>
          <w:szCs w:val="24"/>
          <w:highlight w:val="none"/>
        </w:rPr>
        <w:t>“全称”</w:t>
      </w:r>
      <w:r>
        <w:rPr>
          <w:rFonts w:hint="eastAsia" w:ascii="宋体" w:hAnsi="宋体" w:eastAsia="宋体" w:cs="宋体"/>
          <w:color w:val="auto"/>
          <w:sz w:val="24"/>
          <w:szCs w:val="24"/>
          <w:highlight w:val="none"/>
        </w:rPr>
        <w:t>：</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（1）不接受联合体投标的，指</w:t>
      </w:r>
      <w:r>
        <w:rPr>
          <w:rStyle w:val="22"/>
          <w:rFonts w:hint="eastAsia" w:ascii="宋体" w:hAnsi="宋体" w:eastAsia="宋体" w:cs="宋体"/>
          <w:color w:val="auto"/>
          <w:sz w:val="24"/>
          <w:szCs w:val="24"/>
          <w:highlight w:val="none"/>
        </w:rPr>
        <w:t>投标人的全称</w:t>
      </w:r>
      <w:r>
        <w:rPr>
          <w:rFonts w:hint="eastAsia" w:ascii="宋体" w:hAnsi="宋体" w:eastAsia="宋体" w:cs="宋体"/>
          <w:color w:val="auto"/>
          <w:sz w:val="24"/>
          <w:szCs w:val="24"/>
          <w:highlight w:val="none"/>
        </w:rPr>
        <w:t>。</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（2）接受联合体投标且投标人为联合体的，指</w:t>
      </w:r>
      <w:r>
        <w:rPr>
          <w:rStyle w:val="22"/>
          <w:rFonts w:hint="eastAsia" w:ascii="宋体" w:hAnsi="宋体" w:eastAsia="宋体" w:cs="宋体"/>
          <w:color w:val="auto"/>
          <w:sz w:val="24"/>
          <w:szCs w:val="24"/>
          <w:highlight w:val="none"/>
        </w:rPr>
        <w:t>牵头方的全称</w:t>
      </w:r>
      <w:r>
        <w:rPr>
          <w:rFonts w:hint="eastAsia" w:ascii="宋体" w:hAnsi="宋体" w:eastAsia="宋体" w:cs="宋体"/>
          <w:color w:val="auto"/>
          <w:sz w:val="24"/>
          <w:szCs w:val="24"/>
          <w:highlight w:val="none"/>
        </w:rPr>
        <w:t>并加注</w:t>
      </w:r>
      <w:r>
        <w:rPr>
          <w:rStyle w:val="22"/>
          <w:rFonts w:hint="eastAsia" w:ascii="宋体" w:hAnsi="宋体" w:eastAsia="宋体" w:cs="宋体"/>
          <w:color w:val="auto"/>
          <w:sz w:val="24"/>
          <w:szCs w:val="24"/>
          <w:highlight w:val="none"/>
        </w:rPr>
        <w:t>（联合体牵头方）</w:t>
      </w:r>
      <w:r>
        <w:rPr>
          <w:rFonts w:hint="eastAsia" w:ascii="宋体" w:hAnsi="宋体" w:eastAsia="宋体" w:cs="宋体"/>
          <w:color w:val="auto"/>
          <w:sz w:val="24"/>
          <w:szCs w:val="24"/>
          <w:highlight w:val="none"/>
        </w:rPr>
        <w:t>，即应表述为：</w:t>
      </w:r>
      <w:r>
        <w:rPr>
          <w:rStyle w:val="22"/>
          <w:rFonts w:hint="eastAsia" w:ascii="宋体" w:hAnsi="宋体" w:eastAsia="宋体" w:cs="宋体"/>
          <w:color w:val="auto"/>
          <w:sz w:val="24"/>
          <w:szCs w:val="24"/>
          <w:highlight w:val="none"/>
        </w:rPr>
        <w:t>“牵头方的全称（联合体牵头方）”</w:t>
      </w:r>
      <w:r>
        <w:rPr>
          <w:rFonts w:hint="eastAsia" w:ascii="宋体" w:hAnsi="宋体" w:eastAsia="宋体" w:cs="宋体"/>
          <w:color w:val="auto"/>
          <w:sz w:val="24"/>
          <w:szCs w:val="24"/>
          <w:highlight w:val="none"/>
        </w:rPr>
        <w:t>。</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1.2涉及投标人</w:t>
      </w:r>
      <w:r>
        <w:rPr>
          <w:rStyle w:val="22"/>
          <w:rFonts w:hint="eastAsia" w:ascii="宋体" w:hAnsi="宋体" w:eastAsia="宋体" w:cs="宋体"/>
          <w:color w:val="auto"/>
          <w:sz w:val="24"/>
          <w:szCs w:val="24"/>
          <w:highlight w:val="none"/>
        </w:rPr>
        <w:t>“加盖单位公章”</w:t>
      </w:r>
      <w:r>
        <w:rPr>
          <w:rFonts w:hint="eastAsia" w:ascii="宋体" w:hAnsi="宋体" w:eastAsia="宋体" w:cs="宋体"/>
          <w:color w:val="auto"/>
          <w:sz w:val="24"/>
          <w:szCs w:val="24"/>
          <w:highlight w:val="none"/>
        </w:rPr>
        <w:t>：</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（1）不接受联合体投标的，指</w:t>
      </w:r>
      <w:r>
        <w:rPr>
          <w:rStyle w:val="22"/>
          <w:rFonts w:hint="eastAsia" w:ascii="宋体" w:hAnsi="宋体" w:eastAsia="宋体" w:cs="宋体"/>
          <w:color w:val="auto"/>
          <w:sz w:val="24"/>
          <w:szCs w:val="24"/>
          <w:highlight w:val="none"/>
        </w:rPr>
        <w:t>加盖投标人的单位公章</w:t>
      </w:r>
      <w:r>
        <w:rPr>
          <w:rFonts w:hint="eastAsia" w:ascii="宋体" w:hAnsi="宋体" w:eastAsia="宋体" w:cs="宋体"/>
          <w:color w:val="auto"/>
          <w:sz w:val="24"/>
          <w:szCs w:val="24"/>
          <w:highlight w:val="none"/>
        </w:rPr>
        <w:t>。</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（2）接受联合体投标且投标人为联合体的，指</w:t>
      </w:r>
      <w:r>
        <w:rPr>
          <w:rStyle w:val="22"/>
          <w:rFonts w:hint="eastAsia" w:ascii="宋体" w:hAnsi="宋体" w:eastAsia="宋体" w:cs="宋体"/>
          <w:color w:val="auto"/>
          <w:sz w:val="24"/>
          <w:szCs w:val="24"/>
          <w:highlight w:val="none"/>
        </w:rPr>
        <w:t>加盖联合体牵头方的单位公章</w:t>
      </w:r>
      <w:r>
        <w:rPr>
          <w:rFonts w:hint="eastAsia" w:ascii="宋体" w:hAnsi="宋体" w:eastAsia="宋体" w:cs="宋体"/>
          <w:color w:val="auto"/>
          <w:sz w:val="24"/>
          <w:szCs w:val="24"/>
          <w:highlight w:val="none"/>
        </w:rPr>
        <w:t>。</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1.3涉及</w:t>
      </w:r>
      <w:r>
        <w:rPr>
          <w:rStyle w:val="22"/>
          <w:rFonts w:hint="eastAsia" w:ascii="宋体" w:hAnsi="宋体" w:eastAsia="宋体" w:cs="宋体"/>
          <w:color w:val="auto"/>
          <w:sz w:val="24"/>
          <w:szCs w:val="24"/>
          <w:highlight w:val="none"/>
        </w:rPr>
        <w:t>“投标人代表签字”</w:t>
      </w:r>
      <w:r>
        <w:rPr>
          <w:rFonts w:hint="eastAsia" w:ascii="宋体" w:hAnsi="宋体" w:eastAsia="宋体" w:cs="宋体"/>
          <w:color w:val="auto"/>
          <w:sz w:val="24"/>
          <w:szCs w:val="24"/>
          <w:highlight w:val="none"/>
        </w:rPr>
        <w:t>：</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（1）不接受联合体投标的，指由</w:t>
      </w:r>
      <w:r>
        <w:rPr>
          <w:rStyle w:val="22"/>
          <w:rFonts w:hint="eastAsia" w:ascii="宋体" w:hAnsi="宋体" w:eastAsia="宋体" w:cs="宋体"/>
          <w:color w:val="auto"/>
          <w:sz w:val="24"/>
          <w:szCs w:val="24"/>
          <w:highlight w:val="none"/>
        </w:rPr>
        <w:t>投标人的单位负责人或其授权的委托代理人签字</w:t>
      </w:r>
      <w:r>
        <w:rPr>
          <w:rFonts w:hint="eastAsia" w:ascii="宋体" w:hAnsi="宋体" w:eastAsia="宋体" w:cs="宋体"/>
          <w:color w:val="auto"/>
          <w:sz w:val="24"/>
          <w:szCs w:val="24"/>
          <w:highlight w:val="none"/>
        </w:rPr>
        <w:t>，由委托代理人签字的，应提供“单位授权书”。</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（2）接受联合体投标且投标人为联合体的，指由</w:t>
      </w:r>
      <w:r>
        <w:rPr>
          <w:rStyle w:val="22"/>
          <w:rFonts w:hint="eastAsia" w:ascii="宋体" w:hAnsi="宋体" w:eastAsia="宋体" w:cs="宋体"/>
          <w:color w:val="auto"/>
          <w:sz w:val="24"/>
          <w:szCs w:val="24"/>
          <w:highlight w:val="none"/>
        </w:rPr>
        <w:t>联合体牵头方的单位负责人或其授权的委托代理人签字</w:t>
      </w:r>
      <w:r>
        <w:rPr>
          <w:rFonts w:hint="eastAsia" w:ascii="宋体" w:hAnsi="宋体" w:eastAsia="宋体" w:cs="宋体"/>
          <w:color w:val="auto"/>
          <w:sz w:val="24"/>
          <w:szCs w:val="24"/>
          <w:highlight w:val="none"/>
        </w:rPr>
        <w:t>，由委托代理人签字的，应提供“单位授权书”。</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1.4</w:t>
      </w:r>
      <w:r>
        <w:rPr>
          <w:rStyle w:val="22"/>
          <w:rFonts w:hint="eastAsia" w:ascii="宋体" w:hAnsi="宋体" w:eastAsia="宋体" w:cs="宋体"/>
          <w:color w:val="auto"/>
          <w:sz w:val="24"/>
          <w:szCs w:val="24"/>
          <w:highlight w:val="none"/>
        </w:rPr>
        <w:t>“其他组织”</w:t>
      </w:r>
      <w:r>
        <w:rPr>
          <w:rFonts w:hint="eastAsia" w:ascii="宋体" w:hAnsi="宋体" w:eastAsia="宋体" w:cs="宋体"/>
          <w:color w:val="auto"/>
          <w:sz w:val="24"/>
          <w:szCs w:val="24"/>
          <w:highlight w:val="none"/>
        </w:rPr>
        <w:t>指合伙企业、非企业专业服务机构、个体工商户、农村承包经营户等。</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1.5</w:t>
      </w:r>
      <w:r>
        <w:rPr>
          <w:rStyle w:val="22"/>
          <w:rFonts w:hint="eastAsia" w:ascii="宋体" w:hAnsi="宋体" w:eastAsia="宋体" w:cs="宋体"/>
          <w:color w:val="auto"/>
          <w:sz w:val="24"/>
          <w:szCs w:val="24"/>
          <w:highlight w:val="none"/>
        </w:rPr>
        <w:t>“自然人”</w:t>
      </w:r>
      <w:r>
        <w:rPr>
          <w:rFonts w:hint="eastAsia" w:ascii="宋体" w:hAnsi="宋体" w:eastAsia="宋体" w:cs="宋体"/>
          <w:color w:val="auto"/>
          <w:sz w:val="24"/>
          <w:szCs w:val="24"/>
          <w:highlight w:val="none"/>
        </w:rPr>
        <w:t>指具有完全民事行为能力、能够承担民事责任和义务的中国公民。</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2、除招标文件另有规定外，本章中</w:t>
      </w:r>
      <w:r>
        <w:rPr>
          <w:rStyle w:val="22"/>
          <w:rFonts w:hint="eastAsia" w:ascii="宋体" w:hAnsi="宋体" w:eastAsia="宋体" w:cs="宋体"/>
          <w:color w:val="auto"/>
          <w:sz w:val="24"/>
          <w:szCs w:val="24"/>
          <w:highlight w:val="none"/>
        </w:rPr>
        <w:t>“投标人的资格及资信证明文件”</w:t>
      </w:r>
      <w:r>
        <w:rPr>
          <w:rFonts w:hint="eastAsia" w:ascii="宋体" w:hAnsi="宋体" w:eastAsia="宋体" w:cs="宋体"/>
          <w:color w:val="auto"/>
          <w:sz w:val="24"/>
          <w:szCs w:val="24"/>
          <w:highlight w:val="none"/>
        </w:rPr>
        <w:t>：</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2.1投标人应按照招标文件第四章第</w:t>
      </w:r>
      <w:r>
        <w:rPr>
          <w:rFonts w:hint="default" w:ascii="Calibri" w:hAnsi="Calibri" w:eastAsia="宋体" w:cs="Calibri"/>
          <w:color w:val="auto"/>
          <w:sz w:val="24"/>
          <w:szCs w:val="24"/>
          <w:highlight w:val="none"/>
        </w:rPr>
        <w:t>1.3</w:t>
      </w:r>
      <w:r>
        <w:rPr>
          <w:rFonts w:hint="eastAsia" w:ascii="宋体" w:hAnsi="宋体" w:eastAsia="宋体" w:cs="宋体"/>
          <w:color w:val="auto"/>
          <w:sz w:val="24"/>
          <w:szCs w:val="24"/>
          <w:highlight w:val="none"/>
        </w:rPr>
        <w:t>条第（</w:t>
      </w:r>
      <w:r>
        <w:rPr>
          <w:rFonts w:hint="default" w:ascii="Calibri" w:hAnsi="Calibri" w:eastAsia="宋体" w:cs="Calibri"/>
          <w:color w:val="auto"/>
          <w:sz w:val="24"/>
          <w:szCs w:val="24"/>
          <w:highlight w:val="none"/>
        </w:rPr>
        <w:t>2</w:t>
      </w:r>
      <w:r>
        <w:rPr>
          <w:rFonts w:hint="eastAsia" w:ascii="宋体" w:hAnsi="宋体" w:eastAsia="宋体" w:cs="宋体"/>
          <w:color w:val="auto"/>
          <w:sz w:val="24"/>
          <w:szCs w:val="24"/>
          <w:highlight w:val="none"/>
        </w:rPr>
        <w:t>）款规定及本章规定进行编制，如有必要，可增加附页，附页作为资格及资信文件的组成部分。</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2.2接受联合体投标且投标人为联合体的，联合体中的各方均应按照本章第</w:t>
      </w:r>
      <w:r>
        <w:rPr>
          <w:rFonts w:hint="default" w:ascii="Calibri" w:hAnsi="Calibri" w:eastAsia="宋体" w:cs="Calibri"/>
          <w:color w:val="auto"/>
          <w:sz w:val="24"/>
          <w:szCs w:val="24"/>
          <w:highlight w:val="none"/>
        </w:rPr>
        <w:t>2.1</w:t>
      </w:r>
      <w:r>
        <w:rPr>
          <w:rFonts w:hint="eastAsia" w:ascii="宋体" w:hAnsi="宋体" w:eastAsia="宋体" w:cs="宋体"/>
          <w:color w:val="auto"/>
          <w:sz w:val="24"/>
          <w:szCs w:val="24"/>
          <w:highlight w:val="none"/>
        </w:rPr>
        <w:t>条规定提交相应的全部资料。</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3、投标人对投标文件的索引应编制页码。</w:t>
      </w:r>
    </w:p>
    <w:p>
      <w:pPr>
        <w:pStyle w:val="16"/>
        <w:keepNext w:val="0"/>
        <w:keepLines w:val="0"/>
        <w:widowControl/>
        <w:suppressLineNumbers w:val="0"/>
        <w:ind w:left="0" w:firstLine="480"/>
        <w:rPr>
          <w:color w:val="auto"/>
          <w:highlight w:val="none"/>
        </w:rPr>
      </w:pPr>
      <w:r>
        <w:rPr>
          <w:rFonts w:hint="eastAsia" w:ascii="宋体" w:hAnsi="宋体" w:eastAsia="宋体" w:cs="宋体"/>
          <w:color w:val="auto"/>
          <w:sz w:val="24"/>
          <w:szCs w:val="24"/>
          <w:highlight w:val="none"/>
        </w:rPr>
        <w:t>4、本章提供格式仅供参考，投标人应根据自身实际情况制作投标文件。</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8"/>
          <w:szCs w:val="28"/>
          <w:highlight w:val="none"/>
        </w:rPr>
        <w:t>封面格式</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48"/>
          <w:szCs w:val="48"/>
          <w:highlight w:val="none"/>
        </w:rPr>
        <w:t>政府采购投标文件</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48"/>
          <w:szCs w:val="48"/>
          <w:highlight w:val="none"/>
        </w:rPr>
        <w:t>（资格及资信证明部分）</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36"/>
          <w:szCs w:val="36"/>
          <w:highlight w:val="none"/>
          <w:u w:val="single"/>
        </w:rPr>
        <w:t>（填写正本或副本）</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ind w:left="0" w:firstLine="1920"/>
        <w:rPr>
          <w:color w:val="auto"/>
          <w:highlight w:val="none"/>
        </w:rPr>
      </w:pPr>
      <w:r>
        <w:rPr>
          <w:rStyle w:val="22"/>
          <w:rFonts w:hint="eastAsia" w:ascii="宋体" w:hAnsi="宋体" w:eastAsia="宋体" w:cs="宋体"/>
          <w:color w:val="auto"/>
          <w:sz w:val="31"/>
          <w:szCs w:val="31"/>
          <w:highlight w:val="none"/>
        </w:rPr>
        <w:t>项目名称：</w:t>
      </w:r>
      <w:r>
        <w:rPr>
          <w:rStyle w:val="22"/>
          <w:rFonts w:hint="eastAsia" w:ascii="宋体" w:hAnsi="宋体" w:eastAsia="宋体" w:cs="宋体"/>
          <w:color w:val="auto"/>
          <w:sz w:val="31"/>
          <w:szCs w:val="31"/>
          <w:highlight w:val="none"/>
          <w:u w:val="single"/>
        </w:rPr>
        <w:t>（由投标人填写）</w:t>
      </w:r>
    </w:p>
    <w:p>
      <w:pPr>
        <w:pStyle w:val="16"/>
        <w:keepNext w:val="0"/>
        <w:keepLines w:val="0"/>
        <w:widowControl/>
        <w:suppressLineNumbers w:val="0"/>
        <w:ind w:left="0" w:firstLine="1920"/>
        <w:rPr>
          <w:color w:val="auto"/>
          <w:highlight w:val="none"/>
        </w:rPr>
      </w:pPr>
      <w:r>
        <w:rPr>
          <w:rStyle w:val="22"/>
          <w:rFonts w:hint="eastAsia" w:ascii="宋体" w:hAnsi="宋体" w:eastAsia="宋体" w:cs="宋体"/>
          <w:color w:val="auto"/>
          <w:sz w:val="31"/>
          <w:szCs w:val="31"/>
          <w:highlight w:val="none"/>
        </w:rPr>
        <w:t>项目编号：</w:t>
      </w:r>
      <w:r>
        <w:rPr>
          <w:rStyle w:val="22"/>
          <w:rFonts w:hint="eastAsia" w:ascii="宋体" w:hAnsi="宋体" w:eastAsia="宋体" w:cs="宋体"/>
          <w:color w:val="auto"/>
          <w:sz w:val="31"/>
          <w:szCs w:val="31"/>
          <w:highlight w:val="none"/>
          <w:u w:val="single"/>
        </w:rPr>
        <w:t>（由投标人填写）</w:t>
      </w:r>
    </w:p>
    <w:p>
      <w:pPr>
        <w:pStyle w:val="16"/>
        <w:keepNext w:val="0"/>
        <w:keepLines w:val="0"/>
        <w:widowControl/>
        <w:suppressLineNumbers w:val="0"/>
        <w:ind w:left="0" w:firstLine="1920"/>
        <w:rPr>
          <w:color w:val="auto"/>
          <w:highlight w:val="none"/>
        </w:rPr>
      </w:pPr>
      <w:r>
        <w:rPr>
          <w:rStyle w:val="22"/>
          <w:rFonts w:hint="eastAsia" w:ascii="宋体" w:hAnsi="宋体" w:eastAsia="宋体" w:cs="宋体"/>
          <w:color w:val="auto"/>
          <w:sz w:val="31"/>
          <w:szCs w:val="31"/>
          <w:highlight w:val="none"/>
        </w:rPr>
        <w:t>所投采购包：</w:t>
      </w:r>
      <w:r>
        <w:rPr>
          <w:rStyle w:val="22"/>
          <w:rFonts w:hint="eastAsia" w:ascii="宋体" w:hAnsi="宋体" w:eastAsia="宋体" w:cs="宋体"/>
          <w:color w:val="auto"/>
          <w:sz w:val="31"/>
          <w:szCs w:val="31"/>
          <w:highlight w:val="none"/>
          <w:u w:val="single"/>
        </w:rPr>
        <w:t>（由投标人填写）</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31"/>
          <w:szCs w:val="31"/>
          <w:highlight w:val="none"/>
        </w:rPr>
        <w:t>投标人：</w:t>
      </w:r>
      <w:r>
        <w:rPr>
          <w:rStyle w:val="22"/>
          <w:rFonts w:hint="eastAsia" w:ascii="宋体" w:hAnsi="宋体" w:eastAsia="宋体" w:cs="宋体"/>
          <w:color w:val="auto"/>
          <w:sz w:val="31"/>
          <w:szCs w:val="31"/>
          <w:highlight w:val="none"/>
          <w:u w:val="single"/>
        </w:rPr>
        <w:t>（填写“全称”）</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31"/>
          <w:szCs w:val="31"/>
          <w:highlight w:val="none"/>
          <w:u w:val="single"/>
        </w:rPr>
        <w:t>（由投标人填写）</w:t>
      </w:r>
      <w:r>
        <w:rPr>
          <w:rStyle w:val="22"/>
          <w:rFonts w:hint="eastAsia" w:ascii="宋体" w:hAnsi="宋体" w:eastAsia="宋体" w:cs="宋体"/>
          <w:color w:val="auto"/>
          <w:sz w:val="31"/>
          <w:szCs w:val="31"/>
          <w:highlight w:val="none"/>
        </w:rPr>
        <w:t>年</w:t>
      </w:r>
      <w:r>
        <w:rPr>
          <w:rStyle w:val="22"/>
          <w:rFonts w:hint="eastAsia" w:ascii="宋体" w:hAnsi="宋体" w:eastAsia="宋体" w:cs="宋体"/>
          <w:color w:val="auto"/>
          <w:sz w:val="31"/>
          <w:szCs w:val="31"/>
          <w:highlight w:val="none"/>
          <w:u w:val="single"/>
        </w:rPr>
        <w:t>（由投标人填写）</w:t>
      </w:r>
      <w:r>
        <w:rPr>
          <w:rStyle w:val="22"/>
          <w:rFonts w:hint="eastAsia" w:ascii="宋体" w:hAnsi="宋体" w:eastAsia="宋体" w:cs="宋体"/>
          <w:color w:val="auto"/>
          <w:sz w:val="31"/>
          <w:szCs w:val="31"/>
          <w:highlight w:val="none"/>
        </w:rPr>
        <w:t>月</w:t>
      </w:r>
    </w:p>
    <w:p>
      <w:pPr>
        <w:pStyle w:val="16"/>
        <w:keepNext w:val="0"/>
        <w:keepLines w:val="0"/>
        <w:widowControl/>
        <w:suppressLineNumbers w:val="0"/>
        <w:jc w:val="center"/>
        <w:rPr>
          <w:rStyle w:val="22"/>
          <w:rFonts w:hint="eastAsia" w:ascii="宋体" w:hAnsi="宋体" w:eastAsia="宋体" w:cs="宋体"/>
          <w:color w:val="auto"/>
          <w:sz w:val="28"/>
          <w:szCs w:val="28"/>
          <w:highlight w:val="none"/>
          <w:lang w:eastAsia="zh-CN"/>
        </w:rPr>
      </w:pPr>
    </w:p>
    <w:p>
      <w:pPr>
        <w:pStyle w:val="16"/>
        <w:keepNext w:val="0"/>
        <w:keepLines w:val="0"/>
        <w:widowControl/>
        <w:suppressLineNumbers w:val="0"/>
        <w:jc w:val="center"/>
        <w:rPr>
          <w:rStyle w:val="22"/>
          <w:rFonts w:hint="eastAsia" w:ascii="宋体" w:hAnsi="宋体" w:eastAsia="宋体" w:cs="宋体"/>
          <w:color w:val="auto"/>
          <w:sz w:val="28"/>
          <w:szCs w:val="28"/>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8"/>
          <w:szCs w:val="28"/>
          <w:highlight w:val="none"/>
        </w:rPr>
        <w:t>索引</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一、投标函</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二、投标人的资格及资信证明文件</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三、投标保证金</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资格及资信证明部分中不得出现报价部分的全部或部分的投标报价信息（或组成资料），否则</w:t>
      </w:r>
      <w:r>
        <w:rPr>
          <w:rStyle w:val="22"/>
          <w:rFonts w:hint="eastAsia" w:ascii="宋体" w:hAnsi="宋体" w:eastAsia="宋体" w:cs="宋体"/>
          <w:color w:val="auto"/>
          <w:sz w:val="21"/>
          <w:szCs w:val="21"/>
          <w:highlight w:val="none"/>
        </w:rPr>
        <w:t>资格审查不合格</w:t>
      </w:r>
      <w:r>
        <w:rPr>
          <w:rFonts w:hint="eastAsia" w:ascii="宋体" w:hAnsi="宋体" w:eastAsia="宋体" w:cs="宋体"/>
          <w:color w:val="auto"/>
          <w:sz w:val="21"/>
          <w:szCs w:val="21"/>
          <w:highlight w:val="none"/>
        </w:rPr>
        <w:t>。（联合体协议及分包意向协议中的比例规定，不适用本条款）</w:t>
      </w: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jc w:val="center"/>
        <w:rPr>
          <w:rStyle w:val="22"/>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一、投标函</w:t>
      </w:r>
    </w:p>
    <w:p>
      <w:pPr>
        <w:pStyle w:val="16"/>
        <w:keepNext w:val="0"/>
        <w:keepLines w:val="0"/>
        <w:widowControl/>
        <w:suppressLineNumbers w:val="0"/>
        <w:rPr>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（采购人或采购代理机构）</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兹收到贵单位关于</w:t>
      </w:r>
      <w:r>
        <w:rPr>
          <w:rFonts w:hint="eastAsia" w:ascii="宋体" w:hAnsi="宋体" w:eastAsia="宋体" w:cs="宋体"/>
          <w:color w:val="auto"/>
          <w:sz w:val="24"/>
          <w:szCs w:val="24"/>
          <w:highlight w:val="none"/>
          <w:u w:val="single"/>
        </w:rPr>
        <w:t>（填写“项目名称”）</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）的投标邀请，本投标人代表</w:t>
      </w:r>
      <w:r>
        <w:rPr>
          <w:rFonts w:hint="eastAsia" w:ascii="宋体" w:hAnsi="宋体" w:eastAsia="宋体" w:cs="宋体"/>
          <w:color w:val="auto"/>
          <w:sz w:val="24"/>
          <w:szCs w:val="24"/>
          <w:highlight w:val="none"/>
          <w:u w:val="single"/>
        </w:rPr>
        <w:t>（填写“全名”）</w:t>
      </w:r>
      <w:r>
        <w:rPr>
          <w:rFonts w:hint="eastAsia" w:ascii="宋体" w:hAnsi="宋体" w:eastAsia="宋体" w:cs="宋体"/>
          <w:color w:val="auto"/>
          <w:sz w:val="24"/>
          <w:szCs w:val="24"/>
          <w:highlight w:val="none"/>
        </w:rPr>
        <w:t>已获得我方正式授权并代表投标人</w:t>
      </w:r>
      <w:r>
        <w:rPr>
          <w:rFonts w:hint="eastAsia" w:ascii="宋体" w:hAnsi="宋体" w:eastAsia="宋体" w:cs="宋体"/>
          <w:color w:val="auto"/>
          <w:sz w:val="24"/>
          <w:szCs w:val="24"/>
          <w:highlight w:val="none"/>
          <w:u w:val="single"/>
        </w:rPr>
        <w:t>（填写“全称”）</w:t>
      </w:r>
      <w:r>
        <w:rPr>
          <w:rFonts w:hint="eastAsia" w:ascii="宋体" w:hAnsi="宋体" w:eastAsia="宋体" w:cs="宋体"/>
          <w:color w:val="auto"/>
          <w:sz w:val="24"/>
          <w:szCs w:val="24"/>
          <w:highlight w:val="none"/>
        </w:rPr>
        <w:t>参加投标，并提交投标文件。我方提交的全部投标文件由下述部分组成：</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（1）资格及资信证明部分</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①投标函</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②投标人的资格及资信证明文件</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③投标保证金</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（2）报价部分</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①开标一览表</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②投标分项报价表</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③招标文件规定的价格扣除证明材料（若有）</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④招标文件规定的加分证明材料（若有）</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（3）技术商务部分</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①标的说明一览表</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②技术和服务要求响应表</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③商务条件响应表</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④投标人提交的其他资料（若有）</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根据本函，本投标人代表宣布我方保证遵守招标文件的全部规定，同时：</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1、</w:t>
      </w:r>
      <w:r>
        <w:rPr>
          <w:rStyle w:val="22"/>
          <w:rFonts w:hint="eastAsia" w:ascii="宋体" w:hAnsi="宋体" w:eastAsia="宋体" w:cs="宋体"/>
          <w:color w:val="auto"/>
          <w:sz w:val="24"/>
          <w:szCs w:val="24"/>
          <w:highlight w:val="none"/>
        </w:rPr>
        <w:t>确认：</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1.1所投采购包的投标报价详见“开标一览表”及“投标分项报价表”。</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1.2我方已详细审查全部招标文件</w:t>
      </w:r>
      <w:r>
        <w:rPr>
          <w:rFonts w:hint="default" w:ascii="Calibri" w:hAnsi="Calibri" w:eastAsia="宋体" w:cs="Calibri"/>
          <w:color w:val="auto"/>
          <w:sz w:val="24"/>
          <w:szCs w:val="24"/>
          <w:highlight w:val="none"/>
        </w:rPr>
        <w:t>[</w:t>
      </w:r>
      <w:r>
        <w:rPr>
          <w:rFonts w:hint="eastAsia" w:ascii="宋体" w:hAnsi="宋体" w:eastAsia="宋体" w:cs="宋体"/>
          <w:color w:val="auto"/>
          <w:sz w:val="24"/>
          <w:szCs w:val="24"/>
          <w:highlight w:val="none"/>
        </w:rPr>
        <w:t>包括但不限于：有关附件（若有）、澄清或修改（若有）等</w:t>
      </w:r>
      <w:r>
        <w:rPr>
          <w:rFonts w:hint="default" w:ascii="Calibri" w:hAnsi="Calibri" w:eastAsia="宋体" w:cs="Calibri"/>
          <w:color w:val="auto"/>
          <w:sz w:val="24"/>
          <w:szCs w:val="24"/>
          <w:highlight w:val="none"/>
        </w:rPr>
        <w:t>]</w:t>
      </w:r>
      <w:r>
        <w:rPr>
          <w:rFonts w:hint="eastAsia" w:ascii="宋体" w:hAnsi="宋体" w:eastAsia="宋体" w:cs="宋体"/>
          <w:color w:val="auto"/>
          <w:sz w:val="24"/>
          <w:szCs w:val="24"/>
          <w:highlight w:val="none"/>
        </w:rPr>
        <w:t>，并自行承担因对全部招标文件理解不正确或误解而产生的相应后果和责任。</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2、</w:t>
      </w:r>
      <w:r>
        <w:rPr>
          <w:rStyle w:val="22"/>
          <w:rFonts w:hint="eastAsia" w:ascii="宋体" w:hAnsi="宋体" w:eastAsia="宋体" w:cs="宋体"/>
          <w:color w:val="auto"/>
          <w:sz w:val="24"/>
          <w:szCs w:val="24"/>
          <w:highlight w:val="none"/>
        </w:rPr>
        <w:t>承诺及声明：</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2.1我方具备招标文件第一章载明的“投标人的资格要求”且符合招标文件第三章载明的“二、投标人”之规定，否则</w:t>
      </w:r>
      <w:r>
        <w:rPr>
          <w:rStyle w:val="22"/>
          <w:rFonts w:hint="eastAsia" w:ascii="宋体" w:hAnsi="宋体" w:eastAsia="宋体" w:cs="宋体"/>
          <w:color w:val="auto"/>
          <w:sz w:val="24"/>
          <w:szCs w:val="24"/>
          <w:highlight w:val="none"/>
        </w:rPr>
        <w:t>投标无效。</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2.2我方提交的投标文件各组成部分的全部内容及资料是不可割离且真实、有效、准确、完整和不具有任何误导性的，否则产生不利后果由我方承担责任。</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2.3我方提供的标的价格不高于同期市场价格，否则产生不利后果由我方承担责任。</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2.4投标保证金：若出现招标文件第三章规定的不予退还情形，同意贵单位不予退还。</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2.5投标有效期：按照招标文件第三章规定执行，并在招标文件第二章载明的期限内保持有效。</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2.6若中标，将按照招标文件、我方投标文件及政府采购合同履行责任和义务。</w:t>
      </w:r>
    </w:p>
    <w:p>
      <w:pPr>
        <w:pStyle w:val="16"/>
        <w:keepNext w:val="0"/>
        <w:keepLines w:val="0"/>
        <w:widowControl/>
        <w:suppressLineNumbers w:val="0"/>
        <w:ind w:left="0" w:firstLine="42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2.7若贵单位要求，我方同意提供与本项目投标有关的一切资料、数据或文件，并完全理解贵单位不一定要接受最低的投标报价或收到的任何投标。</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  2.8我方承诺投标文件所提供的全部资料真实可靠，并接受评标委员会、采购人、采购代理机构、监管部门进一步审查其中任何资料真实性的要求。</w:t>
      </w:r>
    </w:p>
    <w:p>
      <w:pPr>
        <w:pStyle w:val="16"/>
        <w:keepNext w:val="0"/>
        <w:keepLines w:val="0"/>
        <w:widowControl/>
        <w:suppressLineNumbers w:val="0"/>
        <w:ind w:left="0" w:firstLine="42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2.9除招标文件另有规定外，对于贵单位按照下述联络方式发出的任何信息或通知，均视为我方已收悉前述信息或通知的全部内容：</w:t>
      </w:r>
    </w:p>
    <w:p>
      <w:pPr>
        <w:pStyle w:val="16"/>
        <w:keepNext w:val="0"/>
        <w:keepLines w:val="0"/>
        <w:widowControl/>
        <w:suppressLineNumbers w:val="0"/>
        <w:ind w:left="0"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通信地址：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邮编：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联系方法：（包括但不限于：联系人、联系电话、手机、传真、电子邮箱等）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投标人：（全称并加盖单位公章）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投标人代表签字：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6"/>
        <w:keepNext w:val="0"/>
        <w:keepLines w:val="0"/>
        <w:widowControl/>
        <w:suppressLineNumbers w:val="0"/>
        <w:ind w:left="0" w:firstLine="420"/>
        <w:rPr>
          <w:rFonts w:hint="eastAsia" w:ascii="宋体" w:hAnsi="宋体" w:eastAsia="宋体" w:cs="宋体"/>
          <w:color w:val="auto"/>
          <w:sz w:val="21"/>
          <w:szCs w:val="21"/>
          <w:highlight w:val="none"/>
          <w:u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u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u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u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u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u w:val="none"/>
        </w:rPr>
      </w:pPr>
    </w:p>
    <w:p>
      <w:pPr>
        <w:pStyle w:val="16"/>
        <w:keepNext w:val="0"/>
        <w:keepLines w:val="0"/>
        <w:widowControl/>
        <w:suppressLineNumbers w:val="0"/>
        <w:jc w:val="center"/>
        <w:rPr>
          <w:color w:val="auto"/>
          <w:sz w:val="28"/>
          <w:szCs w:val="28"/>
          <w:highlight w:val="none"/>
        </w:rPr>
      </w:pPr>
      <w:r>
        <w:rPr>
          <w:rStyle w:val="22"/>
          <w:rFonts w:hint="eastAsia" w:ascii="宋体" w:hAnsi="宋体" w:eastAsia="宋体" w:cs="宋体"/>
          <w:color w:val="auto"/>
          <w:sz w:val="22"/>
          <w:szCs w:val="22"/>
          <w:highlight w:val="none"/>
        </w:rPr>
        <w:t>二、投标人的资格及资信证明文件</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widowControl/>
        <w:jc w:val="center"/>
        <w:rPr>
          <w:rFonts w:hint="eastAsia" w:ascii="宋体" w:hAnsi="宋体" w:eastAsia="宋体" w:cs="宋体"/>
          <w:color w:val="auto"/>
          <w:highlight w:val="none"/>
        </w:rPr>
      </w:pPr>
      <w:r>
        <w:rPr>
          <w:rStyle w:val="22"/>
          <w:rFonts w:ascii="宋体" w:hAnsi="宋体" w:eastAsia="宋体" w:cs="宋体"/>
          <w:color w:val="auto"/>
          <w:sz w:val="21"/>
          <w:szCs w:val="21"/>
          <w:highlight w:val="none"/>
        </w:rPr>
        <w:t>二</w:t>
      </w:r>
      <w:r>
        <w:rPr>
          <w:rStyle w:val="22"/>
          <w:rFonts w:hint="eastAsia" w:ascii="宋体" w:hAnsi="宋体" w:eastAsia="宋体" w:cs="宋体"/>
          <w:color w:val="auto"/>
          <w:sz w:val="21"/>
          <w:szCs w:val="21"/>
          <w:highlight w:val="none"/>
        </w:rPr>
        <w:t>-1单位负责人授权书（若有）</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 </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6"/>
        <w:widowControl/>
        <w:ind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我方的单位负责人</w:t>
      </w:r>
      <w:r>
        <w:rPr>
          <w:rFonts w:hint="eastAsia" w:ascii="宋体" w:hAnsi="宋体" w:eastAsia="宋体" w:cs="宋体"/>
          <w:color w:val="auto"/>
          <w:sz w:val="21"/>
          <w:szCs w:val="21"/>
          <w:highlight w:val="none"/>
          <w:u w:val="single"/>
        </w:rPr>
        <w:t>（填写“单位负责人全名”）</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（填写“投标人代表全名”）</w:t>
      </w:r>
      <w:r>
        <w:rPr>
          <w:rFonts w:hint="eastAsia" w:ascii="宋体" w:hAnsi="宋体" w:eastAsia="宋体" w:cs="宋体"/>
          <w:color w:val="auto"/>
          <w:sz w:val="21"/>
          <w:szCs w:val="21"/>
          <w:highlight w:val="none"/>
        </w:rPr>
        <w:t>为投标人代表，代表我方参加</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6"/>
        <w:widowControl/>
        <w:ind w:firstLine="420"/>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投标人代表无转委权。特此授权。</w:t>
      </w:r>
    </w:p>
    <w:p>
      <w:pPr>
        <w:pStyle w:val="16"/>
        <w:widowControl/>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（以下无正文）</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 </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单位负责人：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投标人代表：</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xml:space="preserve">         </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 </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授权方</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单位负责人签字或盖章：</w:t>
      </w:r>
      <w:r>
        <w:rPr>
          <w:rFonts w:hint="eastAsia" w:ascii="宋体" w:hAnsi="宋体" w:eastAsia="宋体" w:cs="宋体"/>
          <w:color w:val="auto"/>
          <w:sz w:val="21"/>
          <w:szCs w:val="21"/>
          <w:highlight w:val="none"/>
          <w:u w:val="single"/>
        </w:rPr>
        <w:t>                   </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 </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接受授权方</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6"/>
        <w:widowControl/>
        <w:jc w:val="right"/>
        <w:rPr>
          <w:rFonts w:hint="eastAsia" w:ascii="宋体" w:hAnsi="宋体" w:eastAsia="宋体" w:cs="宋体"/>
          <w:color w:val="auto"/>
          <w:highlight w:val="none"/>
        </w:rPr>
      </w:pPr>
      <w:r>
        <w:rPr>
          <w:rFonts w:hint="eastAsia" w:ascii="宋体" w:hAnsi="宋体" w:eastAsia="宋体" w:cs="宋体"/>
          <w:color w:val="auto"/>
          <w:sz w:val="21"/>
          <w:szCs w:val="21"/>
          <w:highlight w:val="none"/>
        </w:rPr>
        <w:t> 签署日期：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附：单位负责人、投标人代表的身份证正反面复印件</w:t>
      </w:r>
    </w:p>
    <w:tbl>
      <w:tblPr>
        <w:tblStyle w:val="1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60" w:type="dxa"/>
            <w:noWrap w:val="0"/>
            <w:tcMar>
              <w:top w:w="0" w:type="dxa"/>
              <w:left w:w="105" w:type="dxa"/>
              <w:bottom w:w="0" w:type="dxa"/>
              <w:right w:w="105" w:type="dxa"/>
            </w:tcMar>
            <w:vAlign w:val="center"/>
          </w:tcPr>
          <w:p>
            <w:pPr>
              <w:pStyle w:val="16"/>
              <w:widowControl/>
              <w:jc w:val="center"/>
              <w:rPr>
                <w:rFonts w:hint="eastAsia" w:ascii="宋体" w:hAnsi="宋体" w:eastAsia="宋体" w:cs="宋体"/>
                <w:color w:val="auto"/>
                <w:highlight w:val="none"/>
              </w:rPr>
            </w:pPr>
            <w:r>
              <w:rPr>
                <w:rStyle w:val="22"/>
                <w:rFonts w:hint="eastAsia" w:ascii="宋体" w:hAnsi="宋体" w:eastAsia="宋体" w:cs="宋体"/>
                <w:color w:val="auto"/>
                <w:kern w:val="0"/>
                <w:sz w:val="21"/>
                <w:szCs w:val="21"/>
                <w:highlight w:val="none"/>
              </w:rPr>
              <w:t> 要求：真实有效且内容完整、清晰、整洁。 </w:t>
            </w:r>
          </w:p>
        </w:tc>
      </w:tr>
    </w:tbl>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★注意：</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1、企业（银行、保险、石油石化、电力、电信等行业除外）、事业单位和社会团体法人的“单位负责人”指</w:t>
      </w:r>
      <w:r>
        <w:rPr>
          <w:rStyle w:val="22"/>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rPr>
        <w:t>，即与实际提交的“营业执照等证明文件”载明的一致。</w:t>
      </w:r>
    </w:p>
    <w:p>
      <w:pPr>
        <w:pStyle w:val="16"/>
        <w:widowControl/>
        <w:rPr>
          <w:rFonts w:hint="eastAsia" w:ascii="宋体" w:hAnsi="宋体" w:eastAsia="宋体" w:cs="宋体"/>
          <w:color w:val="auto"/>
          <w:highlight w:val="none"/>
        </w:rPr>
      </w:pPr>
      <w:r>
        <w:rPr>
          <w:rFonts w:hint="eastAsia" w:ascii="宋体" w:hAnsi="宋体" w:eastAsia="宋体" w:cs="宋体"/>
          <w:color w:val="auto"/>
          <w:sz w:val="21"/>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spacing w:line="360"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3、投标人（自然人除外）：若投标人代表为单位负责人授权的委托代理人，应提供本授权书；若投标人代表为单位负责人，应在此项下提交其身份证正反面复印件，可不提供本授权书。</w:t>
      </w:r>
    </w:p>
    <w:p>
      <w:pPr>
        <w:spacing w:line="360"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4、投标人为自然人的，可不填写本授权书。</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5、纸质投标文件正本中的本授权书（若有）应为原件。 </w:t>
      </w: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二-2营业执照等证明文件</w:t>
      </w:r>
    </w:p>
    <w:p>
      <w:pPr>
        <w:pStyle w:val="16"/>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6"/>
        <w:keepNext w:val="0"/>
        <w:keepLines w:val="0"/>
        <w:widowControl/>
        <w:suppressLineNumbers w:val="0"/>
        <w:rPr>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（采购人或采购代理机构） </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 ）投标人为法人（包括企业、事业单位和社会团体）的</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现附上由</w:t>
      </w:r>
      <w:r>
        <w:rPr>
          <w:rFonts w:hint="eastAsia" w:ascii="宋体" w:hAnsi="宋体" w:eastAsia="宋体" w:cs="宋体"/>
          <w:color w:val="auto"/>
          <w:sz w:val="24"/>
          <w:szCs w:val="24"/>
          <w:highlight w:val="none"/>
          <w:u w:val="single"/>
        </w:rPr>
        <w:t>（填写“签发机关全称”）</w:t>
      </w:r>
      <w:r>
        <w:rPr>
          <w:rFonts w:hint="eastAsia" w:ascii="宋体" w:hAnsi="宋体" w:eastAsia="宋体" w:cs="宋体"/>
          <w:color w:val="auto"/>
          <w:sz w:val="24"/>
          <w:szCs w:val="24"/>
          <w:highlight w:val="none"/>
        </w:rPr>
        <w:t>签发的我方统一社会信用代码</w:t>
      </w:r>
      <w:r>
        <w:rPr>
          <w:rFonts w:hint="eastAsia" w:ascii="宋体" w:hAnsi="宋体" w:eastAsia="宋体" w:cs="宋体"/>
          <w:color w:val="auto"/>
          <w:sz w:val="24"/>
          <w:szCs w:val="24"/>
          <w:highlight w:val="none"/>
          <w:u w:val="single"/>
        </w:rPr>
        <w:t>（请填写法人的具体证照名称）</w:t>
      </w:r>
      <w:r>
        <w:rPr>
          <w:rFonts w:hint="eastAsia" w:ascii="宋体" w:hAnsi="宋体" w:eastAsia="宋体" w:cs="宋体"/>
          <w:color w:val="auto"/>
          <w:sz w:val="24"/>
          <w:szCs w:val="24"/>
          <w:highlight w:val="none"/>
        </w:rPr>
        <w:t>复印件，该证明材料真实有效，否则我方负全部责任。</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 ）投标人为非法人（包括其他组织、自然人）的</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□现附上由</w:t>
      </w:r>
      <w:r>
        <w:rPr>
          <w:rFonts w:hint="eastAsia" w:ascii="宋体" w:hAnsi="宋体" w:eastAsia="宋体" w:cs="宋体"/>
          <w:color w:val="auto"/>
          <w:sz w:val="24"/>
          <w:szCs w:val="24"/>
          <w:highlight w:val="none"/>
          <w:u w:val="single"/>
        </w:rPr>
        <w:t>（填写“签发机关全称”）</w:t>
      </w:r>
      <w:r>
        <w:rPr>
          <w:rFonts w:hint="eastAsia" w:ascii="宋体" w:hAnsi="宋体" w:eastAsia="宋体" w:cs="宋体"/>
          <w:color w:val="auto"/>
          <w:sz w:val="24"/>
          <w:szCs w:val="24"/>
          <w:highlight w:val="none"/>
        </w:rPr>
        <w:t>签发的我方</w:t>
      </w:r>
      <w:r>
        <w:rPr>
          <w:rFonts w:hint="eastAsia" w:ascii="宋体" w:hAnsi="宋体" w:eastAsia="宋体" w:cs="宋体"/>
          <w:color w:val="auto"/>
          <w:sz w:val="24"/>
          <w:szCs w:val="24"/>
          <w:highlight w:val="none"/>
          <w:u w:val="single"/>
        </w:rPr>
        <w:t>（请填写非自然人的非法人的具体证照名称）</w:t>
      </w:r>
      <w:r>
        <w:rPr>
          <w:rFonts w:hint="eastAsia" w:ascii="宋体" w:hAnsi="宋体" w:eastAsia="宋体" w:cs="宋体"/>
          <w:color w:val="auto"/>
          <w:sz w:val="24"/>
          <w:szCs w:val="24"/>
          <w:highlight w:val="none"/>
        </w:rPr>
        <w:t>复印件，该证明材料真实有效，否则我方负全部责任。</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□现附上由</w:t>
      </w:r>
      <w:r>
        <w:rPr>
          <w:rFonts w:hint="eastAsia" w:ascii="宋体" w:hAnsi="宋体" w:eastAsia="宋体" w:cs="宋体"/>
          <w:color w:val="auto"/>
          <w:sz w:val="24"/>
          <w:szCs w:val="24"/>
          <w:highlight w:val="none"/>
          <w:u w:val="single"/>
        </w:rPr>
        <w:t>（填写“签发机关全称”）</w:t>
      </w:r>
      <w:r>
        <w:rPr>
          <w:rFonts w:hint="eastAsia" w:ascii="宋体" w:hAnsi="宋体" w:eastAsia="宋体" w:cs="宋体"/>
          <w:color w:val="auto"/>
          <w:sz w:val="24"/>
          <w:szCs w:val="24"/>
          <w:highlight w:val="none"/>
        </w:rPr>
        <w:t>签发的我方</w:t>
      </w:r>
      <w:r>
        <w:rPr>
          <w:rFonts w:hint="eastAsia" w:ascii="宋体" w:hAnsi="宋体" w:eastAsia="宋体" w:cs="宋体"/>
          <w:color w:val="auto"/>
          <w:sz w:val="24"/>
          <w:szCs w:val="24"/>
          <w:highlight w:val="none"/>
          <w:u w:val="single"/>
        </w:rPr>
        <w:t>（请填写自然人的身份证件名称）</w:t>
      </w:r>
      <w:r>
        <w:rPr>
          <w:rFonts w:hint="eastAsia" w:ascii="宋体" w:hAnsi="宋体" w:eastAsia="宋体" w:cs="宋体"/>
          <w:color w:val="auto"/>
          <w:sz w:val="24"/>
          <w:szCs w:val="24"/>
          <w:highlight w:val="none"/>
        </w:rPr>
        <w:t>复印件，该证明材料真实有效，否则我方负全部责任。</w:t>
      </w:r>
    </w:p>
    <w:p>
      <w:pPr>
        <w:pStyle w:val="16"/>
        <w:keepNext w:val="0"/>
        <w:keepLines w:val="0"/>
        <w:widowControl/>
        <w:suppressLineNumbers w:val="0"/>
        <w:rPr>
          <w:color w:val="auto"/>
          <w:sz w:val="24"/>
          <w:szCs w:val="24"/>
          <w:highlight w:val="none"/>
        </w:rPr>
      </w:pPr>
      <w:r>
        <w:rPr>
          <w:rFonts w:hint="default" w:ascii="Calibri" w:hAnsi="Calibri" w:cs="Calibri"/>
          <w:color w:val="auto"/>
          <w:sz w:val="24"/>
          <w:szCs w:val="24"/>
          <w:highlight w:val="none"/>
        </w:rPr>
        <w:t> </w:t>
      </w:r>
    </w:p>
    <w:p>
      <w:pPr>
        <w:pStyle w:val="16"/>
        <w:keepNext w:val="0"/>
        <w:keepLines w:val="0"/>
        <w:widowControl/>
        <w:suppressLineNumbers w:val="0"/>
        <w:rPr>
          <w:color w:val="auto"/>
          <w:sz w:val="24"/>
          <w:szCs w:val="24"/>
          <w:highlight w:val="none"/>
        </w:rPr>
      </w:pPr>
      <w:r>
        <w:rPr>
          <w:rFonts w:hint="eastAsia" w:ascii="宋体" w:hAnsi="宋体" w:eastAsia="宋体" w:cs="宋体"/>
          <w:color w:val="auto"/>
          <w:sz w:val="24"/>
          <w:szCs w:val="24"/>
          <w:highlight w:val="none"/>
        </w:rPr>
        <w:t>※注意：</w:t>
      </w:r>
    </w:p>
    <w:p>
      <w:pPr>
        <w:pStyle w:val="16"/>
        <w:keepNext w:val="0"/>
        <w:keepLines w:val="0"/>
        <w:widowControl/>
        <w:suppressLineNumbers w:val="0"/>
        <w:rPr>
          <w:color w:val="auto"/>
          <w:sz w:val="24"/>
          <w:szCs w:val="24"/>
          <w:highlight w:val="none"/>
        </w:rPr>
      </w:pPr>
      <w:r>
        <w:rPr>
          <w:rFonts w:hint="eastAsia" w:ascii="宋体" w:hAnsi="宋体" w:eastAsia="宋体" w:cs="宋体"/>
          <w:color w:val="auto"/>
          <w:sz w:val="24"/>
          <w:szCs w:val="24"/>
          <w:highlight w:val="none"/>
        </w:rPr>
        <w:t>1、请投标人按照实际情况编制填写，在相应的（）中打“√”并选择相应的“□”（若有）后，再按照本格式的要求提供相应证明材料的复印件。</w:t>
      </w:r>
    </w:p>
    <w:p>
      <w:pPr>
        <w:pStyle w:val="16"/>
        <w:keepNext w:val="0"/>
        <w:keepLines w:val="0"/>
        <w:widowControl/>
        <w:suppressLineNumbers w:val="0"/>
        <w:rPr>
          <w:color w:val="auto"/>
          <w:sz w:val="24"/>
          <w:szCs w:val="24"/>
          <w:highlight w:val="none"/>
        </w:rPr>
      </w:pPr>
      <w:r>
        <w:rPr>
          <w:rFonts w:hint="eastAsia" w:ascii="宋体" w:hAnsi="宋体" w:eastAsia="宋体" w:cs="宋体"/>
          <w:color w:val="auto"/>
          <w:sz w:val="24"/>
          <w:szCs w:val="24"/>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6"/>
        <w:widowControl/>
        <w:spacing w:line="48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3、投标人提供的相应证明材料复印件均应符合：内容完整、清晰、整洁，并由投标人加盖其单位公章。</w:t>
      </w:r>
    </w:p>
    <w:p>
      <w:pPr>
        <w:pStyle w:val="16"/>
        <w:widowControl/>
        <w:spacing w:line="480" w:lineRule="exact"/>
        <w:rPr>
          <w:rFonts w:ascii="宋体" w:hAnsi="宋体" w:cs="宋体"/>
          <w:color w:val="auto"/>
          <w:highlight w:val="none"/>
        </w:rPr>
      </w:pPr>
      <w:r>
        <w:rPr>
          <w:rFonts w:hint="eastAsia" w:ascii="宋体" w:hAnsi="宋体" w:cs="宋体"/>
          <w:color w:val="auto"/>
          <w:highlight w:val="none"/>
        </w:rPr>
        <w:t>投标人：</w:t>
      </w:r>
      <w:r>
        <w:rPr>
          <w:rFonts w:hint="eastAsia" w:ascii="宋体" w:hAnsi="宋体" w:cs="宋体"/>
          <w:color w:val="auto"/>
          <w:highlight w:val="none"/>
          <w:u w:val="single"/>
        </w:rPr>
        <w:t>（全称并加盖单位公章）</w:t>
      </w:r>
    </w:p>
    <w:p>
      <w:pPr>
        <w:pStyle w:val="16"/>
        <w:widowControl/>
        <w:spacing w:line="480" w:lineRule="exact"/>
        <w:rPr>
          <w:rFonts w:ascii="宋体" w:hAnsi="宋体" w:cs="宋体"/>
          <w:color w:val="auto"/>
          <w:highlight w:val="none"/>
        </w:rPr>
      </w:pPr>
      <w:r>
        <w:rPr>
          <w:rFonts w:hint="eastAsia" w:ascii="宋体" w:hAnsi="宋体" w:cs="宋体"/>
          <w:color w:val="auto"/>
          <w:highlight w:val="none"/>
        </w:rPr>
        <w:t>投标人代表签字：</w:t>
      </w:r>
      <w:r>
        <w:rPr>
          <w:rFonts w:hint="eastAsia" w:ascii="宋体" w:hAnsi="宋体" w:cs="宋体"/>
          <w:color w:val="auto"/>
          <w:highlight w:val="none"/>
          <w:u w:val="single"/>
        </w:rPr>
        <w:t>                   </w:t>
      </w:r>
    </w:p>
    <w:p>
      <w:pPr>
        <w:pStyle w:val="16"/>
        <w:widowControl/>
        <w:spacing w:line="480" w:lineRule="exact"/>
        <w:rPr>
          <w:rFonts w:ascii="宋体" w:hAnsi="宋体" w:cs="宋体"/>
          <w:color w:val="auto"/>
          <w:highlight w:val="none"/>
        </w:rPr>
      </w:pPr>
      <w:r>
        <w:rPr>
          <w:rFonts w:hint="eastAsia" w:ascii="宋体" w:hAnsi="宋体" w:cs="宋体"/>
          <w:color w:val="auto"/>
          <w:highlight w:val="none"/>
        </w:rPr>
        <w:t>日期：</w:t>
      </w:r>
      <w:r>
        <w:rPr>
          <w:rFonts w:hint="eastAsia" w:ascii="宋体" w:hAnsi="宋体" w:cs="宋体"/>
          <w:color w:val="auto"/>
          <w:highlight w:val="none"/>
          <w:u w:val="single"/>
        </w:rPr>
        <w:t>    </w:t>
      </w:r>
      <w:r>
        <w:rPr>
          <w:rFonts w:hint="eastAsia" w:ascii="宋体" w:hAnsi="宋体" w:cs="宋体"/>
          <w:color w:val="auto"/>
          <w:highlight w:val="none"/>
        </w:rPr>
        <w:t>年</w:t>
      </w:r>
      <w:r>
        <w:rPr>
          <w:rFonts w:hint="eastAsia" w:ascii="宋体" w:hAnsi="宋体" w:cs="宋体"/>
          <w:color w:val="auto"/>
          <w:highlight w:val="none"/>
          <w:u w:val="single"/>
        </w:rPr>
        <w:t>   </w:t>
      </w:r>
      <w:r>
        <w:rPr>
          <w:rFonts w:hint="eastAsia" w:ascii="宋体" w:hAnsi="宋体" w:cs="宋体"/>
          <w:color w:val="auto"/>
          <w:highlight w:val="none"/>
        </w:rPr>
        <w:t>月</w:t>
      </w:r>
      <w:r>
        <w:rPr>
          <w:rFonts w:hint="eastAsia" w:ascii="宋体" w:hAnsi="宋体" w:cs="宋体"/>
          <w:color w:val="auto"/>
          <w:highlight w:val="none"/>
          <w:u w:val="single"/>
        </w:rPr>
        <w:t>   </w:t>
      </w:r>
      <w:r>
        <w:rPr>
          <w:rFonts w:hint="eastAsia" w:ascii="宋体" w:hAnsi="宋体" w:cs="宋体"/>
          <w:color w:val="auto"/>
          <w:highlight w:val="none"/>
        </w:rPr>
        <w:t>日</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二-3财务状况报告（财务报告、或资信证明）</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（采购人或采购代理机构） </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ind w:left="0" w:firstLine="420"/>
        <w:textAlignment w:val="auto"/>
        <w:rPr>
          <w:color w:val="auto"/>
          <w:sz w:val="24"/>
          <w:szCs w:val="24"/>
          <w:highlight w:val="none"/>
        </w:rPr>
      </w:pPr>
      <w:r>
        <w:rPr>
          <w:rFonts w:hint="eastAsia" w:ascii="宋体" w:hAnsi="宋体" w:eastAsia="宋体" w:cs="宋体"/>
          <w:color w:val="auto"/>
          <w:sz w:val="24"/>
          <w:szCs w:val="24"/>
          <w:highlight w:val="none"/>
        </w:rPr>
        <w:t>（ ）投标人提供财务报告的</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ind w:left="0" w:firstLine="420"/>
        <w:textAlignment w:val="auto"/>
        <w:rPr>
          <w:color w:val="auto"/>
          <w:sz w:val="24"/>
          <w:szCs w:val="24"/>
          <w:highlight w:val="none"/>
        </w:rPr>
      </w:pPr>
      <w:r>
        <w:rPr>
          <w:rFonts w:hint="eastAsia" w:ascii="宋体" w:hAnsi="宋体" w:eastAsia="宋体" w:cs="宋体"/>
          <w:color w:val="auto"/>
          <w:sz w:val="24"/>
          <w:szCs w:val="24"/>
          <w:highlight w:val="none"/>
        </w:rPr>
        <w:t>□企业适用：现附上我方</w:t>
      </w:r>
      <w:r>
        <w:rPr>
          <w:rFonts w:hint="eastAsia" w:ascii="宋体" w:hAnsi="宋体" w:eastAsia="宋体" w:cs="宋体"/>
          <w:color w:val="auto"/>
          <w:sz w:val="24"/>
          <w:szCs w:val="24"/>
          <w:highlight w:val="none"/>
          <w:u w:val="single"/>
        </w:rPr>
        <w:t>（填写“具体的年度、或半年度、或季度”）</w:t>
      </w:r>
      <w:r>
        <w:rPr>
          <w:rFonts w:hint="eastAsia" w:ascii="宋体" w:hAnsi="宋体" w:eastAsia="宋体" w:cs="宋体"/>
          <w:color w:val="auto"/>
          <w:sz w:val="24"/>
          <w:szCs w:val="24"/>
          <w:highlight w:val="none"/>
        </w:rPr>
        <w:t>财务报告复印件，包括资产负债表、利润表、现金流量表、所有者权益变动表（若有）及其附注（若有）、会计师事务所营业执照和注册会计师资格证书，上述证明材料真实有效，否则我方负全部责任。</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ind w:left="0" w:firstLine="420"/>
        <w:textAlignment w:val="auto"/>
        <w:rPr>
          <w:color w:val="auto"/>
          <w:sz w:val="24"/>
          <w:szCs w:val="24"/>
          <w:highlight w:val="none"/>
        </w:rPr>
      </w:pPr>
      <w:r>
        <w:rPr>
          <w:rFonts w:hint="eastAsia" w:ascii="宋体" w:hAnsi="宋体" w:eastAsia="宋体" w:cs="宋体"/>
          <w:color w:val="auto"/>
          <w:sz w:val="24"/>
          <w:szCs w:val="24"/>
          <w:highlight w:val="none"/>
        </w:rPr>
        <w:t>□事业单位适用：现附上我方</w:t>
      </w:r>
      <w:r>
        <w:rPr>
          <w:rFonts w:hint="eastAsia" w:ascii="宋体" w:hAnsi="宋体" w:eastAsia="宋体" w:cs="宋体"/>
          <w:color w:val="auto"/>
          <w:sz w:val="24"/>
          <w:szCs w:val="24"/>
          <w:highlight w:val="none"/>
          <w:u w:val="single"/>
        </w:rPr>
        <w:t>（填写“具体的年度、或半年度、或季度”）</w:t>
      </w:r>
      <w:r>
        <w:rPr>
          <w:rFonts w:hint="eastAsia" w:ascii="宋体" w:hAnsi="宋体" w:eastAsia="宋体" w:cs="宋体"/>
          <w:color w:val="auto"/>
          <w:sz w:val="24"/>
          <w:szCs w:val="24"/>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ind w:left="0" w:firstLine="420"/>
        <w:textAlignment w:val="auto"/>
        <w:rPr>
          <w:color w:val="auto"/>
          <w:sz w:val="24"/>
          <w:szCs w:val="24"/>
          <w:highlight w:val="none"/>
        </w:rPr>
      </w:pPr>
      <w:r>
        <w:rPr>
          <w:rFonts w:hint="eastAsia" w:ascii="宋体" w:hAnsi="宋体" w:eastAsia="宋体" w:cs="宋体"/>
          <w:color w:val="auto"/>
          <w:sz w:val="24"/>
          <w:szCs w:val="24"/>
          <w:highlight w:val="none"/>
        </w:rPr>
        <w:t>□社会团体、民办非企适用：现附上我方</w:t>
      </w:r>
      <w:r>
        <w:rPr>
          <w:rFonts w:hint="eastAsia" w:ascii="宋体" w:hAnsi="宋体" w:eastAsia="宋体" w:cs="宋体"/>
          <w:color w:val="auto"/>
          <w:sz w:val="24"/>
          <w:szCs w:val="24"/>
          <w:highlight w:val="none"/>
          <w:u w:val="single"/>
        </w:rPr>
        <w:t>（填写“具体的年度、或半年度、或季度”）</w:t>
      </w:r>
      <w:r>
        <w:rPr>
          <w:rFonts w:hint="eastAsia" w:ascii="宋体" w:hAnsi="宋体" w:eastAsia="宋体" w:cs="宋体"/>
          <w:color w:val="auto"/>
          <w:sz w:val="24"/>
          <w:szCs w:val="24"/>
          <w:highlight w:val="none"/>
        </w:rPr>
        <w:t>财务报告复印件，包括资产负债表、业务活动表、现金流量表、会计师事务所营业执照和注册会计师资格证书，上述证明材料真实有效，否则我方负全部责任。</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ind w:left="0" w:firstLine="420"/>
        <w:textAlignment w:val="auto"/>
        <w:rPr>
          <w:color w:val="auto"/>
          <w:sz w:val="24"/>
          <w:szCs w:val="24"/>
          <w:highlight w:val="none"/>
        </w:rPr>
      </w:pPr>
      <w:r>
        <w:rPr>
          <w:rFonts w:hint="eastAsia" w:ascii="宋体" w:hAnsi="宋体" w:eastAsia="宋体" w:cs="宋体"/>
          <w:color w:val="auto"/>
          <w:sz w:val="24"/>
          <w:szCs w:val="24"/>
          <w:highlight w:val="none"/>
        </w:rPr>
        <w:t>（ ）投标人提供资信证明的</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ind w:left="0" w:firstLine="420"/>
        <w:textAlignment w:val="auto"/>
        <w:rPr>
          <w:color w:val="auto"/>
          <w:sz w:val="24"/>
          <w:szCs w:val="24"/>
          <w:highlight w:val="none"/>
        </w:rPr>
      </w:pPr>
      <w:r>
        <w:rPr>
          <w:rFonts w:hint="eastAsia" w:ascii="宋体" w:hAnsi="宋体" w:eastAsia="宋体" w:cs="宋体"/>
          <w:color w:val="auto"/>
          <w:sz w:val="24"/>
          <w:szCs w:val="24"/>
          <w:highlight w:val="none"/>
        </w:rPr>
        <w:t>□非自然人适用（包括企业、事业单位、社会团体和其他组织）：现附上我方银行：（填写“开户银行全称”）出具的资信证明复印件，上述证明材料真实有效，否则我方负全部责任。</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ind w:left="0" w:firstLine="420"/>
        <w:textAlignment w:val="auto"/>
        <w:rPr>
          <w:color w:val="auto"/>
          <w:sz w:val="24"/>
          <w:szCs w:val="24"/>
          <w:highlight w:val="none"/>
        </w:rPr>
      </w:pPr>
      <w:r>
        <w:rPr>
          <w:rFonts w:hint="eastAsia" w:ascii="宋体" w:hAnsi="宋体" w:eastAsia="宋体" w:cs="宋体"/>
          <w:color w:val="auto"/>
          <w:sz w:val="24"/>
          <w:szCs w:val="24"/>
          <w:highlight w:val="none"/>
        </w:rPr>
        <w:t>□自然人适用：现附上我方银行：</w:t>
      </w:r>
      <w:r>
        <w:rPr>
          <w:rFonts w:hint="eastAsia" w:ascii="宋体" w:hAnsi="宋体" w:eastAsia="宋体" w:cs="宋体"/>
          <w:color w:val="auto"/>
          <w:sz w:val="24"/>
          <w:szCs w:val="24"/>
          <w:highlight w:val="none"/>
          <w:u w:val="single"/>
        </w:rPr>
        <w:t>（填写自然人的“个人账户的开户银行全称”）</w:t>
      </w:r>
      <w:r>
        <w:rPr>
          <w:rFonts w:hint="eastAsia" w:ascii="宋体" w:hAnsi="宋体" w:eastAsia="宋体" w:cs="宋体"/>
          <w:color w:val="auto"/>
          <w:sz w:val="24"/>
          <w:szCs w:val="24"/>
          <w:highlight w:val="none"/>
        </w:rPr>
        <w:t>出具的资信证明复印件，上述证明材料真实有效，否则我方负全部责任。</w:t>
      </w:r>
      <w:r>
        <w:rPr>
          <w:rFonts w:hint="default" w:ascii="Calibri" w:hAnsi="Calibri" w:cs="Calibri"/>
          <w:color w:val="auto"/>
          <w:sz w:val="24"/>
          <w:szCs w:val="24"/>
          <w:highlight w:val="none"/>
        </w:rPr>
        <w:t> </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color w:val="auto"/>
          <w:sz w:val="24"/>
          <w:szCs w:val="24"/>
          <w:highlight w:val="none"/>
        </w:rPr>
      </w:pPr>
      <w:r>
        <w:rPr>
          <w:rFonts w:hint="eastAsia" w:ascii="宋体" w:hAnsi="宋体" w:eastAsia="宋体" w:cs="宋体"/>
          <w:color w:val="auto"/>
          <w:sz w:val="24"/>
          <w:szCs w:val="24"/>
          <w:highlight w:val="none"/>
        </w:rPr>
        <w:t>※注意：</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color w:val="auto"/>
          <w:sz w:val="24"/>
          <w:szCs w:val="24"/>
          <w:highlight w:val="none"/>
        </w:rPr>
      </w:pPr>
      <w:r>
        <w:rPr>
          <w:rFonts w:hint="eastAsia" w:ascii="宋体" w:hAnsi="宋体" w:eastAsia="宋体" w:cs="宋体"/>
          <w:color w:val="auto"/>
          <w:sz w:val="24"/>
          <w:szCs w:val="24"/>
          <w:highlight w:val="none"/>
        </w:rPr>
        <w:t>1、请投标人按照实际情况编制填写，在相应的（）中打“√”并选择相应的“□”（若有）后，再按照本格式的要求提供相应证明材料的复印件。</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color w:val="auto"/>
          <w:sz w:val="24"/>
          <w:szCs w:val="24"/>
          <w:highlight w:val="none"/>
        </w:rPr>
      </w:pPr>
      <w:r>
        <w:rPr>
          <w:rFonts w:hint="eastAsia" w:ascii="宋体" w:hAnsi="宋体" w:eastAsia="宋体" w:cs="宋体"/>
          <w:color w:val="auto"/>
          <w:sz w:val="24"/>
          <w:szCs w:val="24"/>
          <w:highlight w:val="none"/>
        </w:rPr>
        <w:t>2、投标人提供的财务报告复印件（成立年限按照投标截止时间推算）应符合下列规定：</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color w:val="auto"/>
          <w:sz w:val="24"/>
          <w:szCs w:val="24"/>
          <w:highlight w:val="none"/>
        </w:rPr>
      </w:pPr>
      <w:r>
        <w:rPr>
          <w:rFonts w:hint="eastAsia" w:ascii="宋体" w:hAnsi="宋体" w:eastAsia="宋体" w:cs="宋体"/>
          <w:color w:val="auto"/>
          <w:sz w:val="24"/>
          <w:szCs w:val="24"/>
          <w:highlight w:val="none"/>
        </w:rPr>
        <w:t>2.1成立年限满</w:t>
      </w:r>
      <w:r>
        <w:rPr>
          <w:rFonts w:hint="default" w:ascii="Calibri" w:hAnsi="Calibri" w:eastAsia="宋体" w:cs="Calibri"/>
          <w:color w:val="auto"/>
          <w:sz w:val="24"/>
          <w:szCs w:val="24"/>
          <w:highlight w:val="none"/>
        </w:rPr>
        <w:t>1</w:t>
      </w:r>
      <w:r>
        <w:rPr>
          <w:rFonts w:hint="eastAsia" w:ascii="宋体" w:hAnsi="宋体" w:eastAsia="宋体" w:cs="宋体"/>
          <w:color w:val="auto"/>
          <w:sz w:val="24"/>
          <w:szCs w:val="24"/>
          <w:highlight w:val="none"/>
        </w:rPr>
        <w:t>年及以上的投标人，提供经审计的招标文件规定的年度财务报告。</w:t>
      </w:r>
    </w:p>
    <w:p>
      <w:pPr>
        <w:pStyle w:val="16"/>
        <w:keepNext w:val="0"/>
        <w:keepLines w:val="0"/>
        <w:pageBreakBefore w:val="0"/>
        <w:widowControl/>
        <w:suppressLineNumbers w:val="0"/>
        <w:kinsoku/>
        <w:wordWrap/>
        <w:overflowPunct/>
        <w:topLinePunct w:val="0"/>
        <w:autoSpaceDE/>
        <w:autoSpaceDN/>
        <w:bidi w:val="0"/>
        <w:adjustRightInd/>
        <w:snapToGrid/>
        <w:spacing w:line="440" w:lineRule="exact"/>
        <w:textAlignment w:val="auto"/>
        <w:rPr>
          <w:color w:val="auto"/>
          <w:sz w:val="24"/>
          <w:szCs w:val="24"/>
          <w:highlight w:val="none"/>
        </w:rPr>
      </w:pPr>
      <w:r>
        <w:rPr>
          <w:rFonts w:hint="eastAsia" w:ascii="宋体" w:hAnsi="宋体" w:eastAsia="宋体" w:cs="宋体"/>
          <w:color w:val="auto"/>
          <w:sz w:val="24"/>
          <w:szCs w:val="24"/>
          <w:highlight w:val="none"/>
        </w:rPr>
        <w:t>2.2成立年限满半年但不足</w:t>
      </w:r>
      <w:r>
        <w:rPr>
          <w:rFonts w:hint="default" w:ascii="Calibri" w:hAnsi="Calibri" w:eastAsia="宋体" w:cs="Calibri"/>
          <w:color w:val="auto"/>
          <w:sz w:val="24"/>
          <w:szCs w:val="24"/>
          <w:highlight w:val="none"/>
        </w:rPr>
        <w:t>1</w:t>
      </w:r>
      <w:r>
        <w:rPr>
          <w:rFonts w:hint="eastAsia" w:ascii="宋体" w:hAnsi="宋体" w:eastAsia="宋体" w:cs="宋体"/>
          <w:color w:val="auto"/>
          <w:sz w:val="24"/>
          <w:szCs w:val="24"/>
          <w:highlight w:val="none"/>
        </w:rPr>
        <w:t>年的投标人，提供该半年度中任一季度的季度财务报告或该半年度的半年度财务报告。</w:t>
      </w:r>
    </w:p>
    <w:p>
      <w:pPr>
        <w:pStyle w:val="16"/>
        <w:keepNext w:val="0"/>
        <w:keepLines w:val="0"/>
        <w:pageBreakBefore w:val="0"/>
        <w:widowControl/>
        <w:kinsoku/>
        <w:wordWrap/>
        <w:overflowPunct/>
        <w:topLinePunct w:val="0"/>
        <w:autoSpaceDE/>
        <w:autoSpaceDN/>
        <w:bidi w:val="0"/>
        <w:adjustRightInd/>
        <w:snapToGrid/>
        <w:spacing w:beforeAutospacing="1" w:afterAutospacing="1" w:line="440" w:lineRule="exact"/>
        <w:ind w:firstLine="420"/>
        <w:textAlignment w:val="auto"/>
        <w:rPr>
          <w:rFonts w:hint="eastAsia" w:ascii="宋体" w:hAnsi="宋体" w:eastAsia="宋体" w:cs="宋体"/>
          <w:color w:val="auto"/>
          <w:sz w:val="24"/>
          <w:szCs w:val="24"/>
          <w:highlight w:val="none"/>
        </w:rPr>
      </w:pPr>
      <w:r>
        <w:rPr>
          <w:rStyle w:val="22"/>
          <w:rFonts w:hint="eastAsia" w:ascii="宋体" w:hAnsi="宋体" w:eastAsia="宋体" w:cs="宋体"/>
          <w:color w:val="auto"/>
          <w:sz w:val="24"/>
          <w:szCs w:val="24"/>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若提供的资信证明有注明复印无效，则应提供原件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pStyle w:val="16"/>
        <w:keepNext w:val="0"/>
        <w:keepLines w:val="0"/>
        <w:pageBreakBefore w:val="0"/>
        <w:widowControl/>
        <w:kinsoku/>
        <w:wordWrap/>
        <w:overflowPunct/>
        <w:topLinePunct w:val="0"/>
        <w:autoSpaceDE/>
        <w:autoSpaceDN/>
        <w:bidi w:val="0"/>
        <w:adjustRightInd/>
        <w:snapToGrid/>
        <w:spacing w:beforeAutospacing="1" w:afterAutospacing="1" w:line="44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3、投标人提供的相应证明材料复印件均应符合：内容完整、清晰、整洁，并由投标人加盖其单位公章。 </w:t>
      </w:r>
      <w:r>
        <w:rPr>
          <w:rFonts w:hint="eastAsia" w:ascii="宋体" w:hAnsi="宋体" w:eastAsia="宋体" w:cs="宋体"/>
          <w:b/>
          <w:bCs/>
          <w:color w:val="auto"/>
          <w:sz w:val="24"/>
          <w:szCs w:val="24"/>
          <w:highlight w:val="none"/>
        </w:rPr>
        <w:t>投标人只提供存款余额状况或开户证明的，不视为资信证明材料，认定其资信证明不完整，为无效投标。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p>
    <w:p>
      <w:pPr>
        <w:pStyle w:val="16"/>
        <w:keepNext w:val="0"/>
        <w:keepLines w:val="0"/>
        <w:widowControl/>
        <w:suppressLineNumbers w:val="0"/>
        <w:jc w:val="center"/>
        <w:rPr>
          <w:rFonts w:hint="eastAsia" w:ascii="宋体" w:hAnsi="宋体" w:eastAsia="宋体" w:cs="宋体"/>
          <w:color w:val="auto"/>
          <w:sz w:val="21"/>
          <w:szCs w:val="21"/>
          <w:highlight w:val="none"/>
        </w:rPr>
      </w:pP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二</w:t>
      </w:r>
      <w:r>
        <w:rPr>
          <w:rStyle w:val="22"/>
          <w:rFonts w:hint="eastAsia" w:ascii="宋体" w:hAnsi="宋体" w:eastAsia="宋体" w:cs="宋体"/>
          <w:color w:val="auto"/>
          <w:sz w:val="21"/>
          <w:szCs w:val="21"/>
          <w:highlight w:val="none"/>
        </w:rPr>
        <w:t>-4依法缴纳税收证明材料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（采购人或采购代理机构） </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1、依法缴纳税收的投标人</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）法人（包括企业、事业单位和社会团体）的</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日期间我方缴纳</w:t>
      </w:r>
      <w:r>
        <w:rPr>
          <w:rFonts w:hint="eastAsia" w:ascii="宋体" w:hAnsi="宋体" w:eastAsia="宋体" w:cs="宋体"/>
          <w:color w:val="auto"/>
          <w:sz w:val="21"/>
          <w:szCs w:val="21"/>
          <w:highlight w:val="none"/>
          <w:u w:val="single"/>
        </w:rPr>
        <w:t>（包括但不限于税务机关出具的专用收据、税收缴纳证明或税收代缴银行的缴款收讫凭证）等</w:t>
      </w:r>
      <w:r>
        <w:rPr>
          <w:rFonts w:hint="eastAsia" w:ascii="宋体" w:hAnsi="宋体" w:eastAsia="宋体" w:cs="宋体"/>
          <w:color w:val="auto"/>
          <w:sz w:val="21"/>
          <w:szCs w:val="21"/>
          <w:highlight w:val="none"/>
        </w:rPr>
        <w:t>税收凭据复印件，上述证明材料真实有效，否则我方负全部责任。</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）非法人（包括其他组织、自然人）的</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日期间我方缴纳</w:t>
      </w:r>
      <w:r>
        <w:rPr>
          <w:rFonts w:hint="eastAsia" w:ascii="宋体" w:hAnsi="宋体" w:eastAsia="宋体" w:cs="宋体"/>
          <w:color w:val="auto"/>
          <w:sz w:val="21"/>
          <w:szCs w:val="21"/>
          <w:highlight w:val="none"/>
          <w:u w:val="single"/>
        </w:rPr>
        <w:t>（包括但不限于税务机关出具的专用收据、税收缴纳证明或税收代缴银行的缴款收讫凭证）等</w:t>
      </w:r>
      <w:r>
        <w:rPr>
          <w:rFonts w:hint="eastAsia" w:ascii="宋体" w:hAnsi="宋体" w:eastAsia="宋体" w:cs="宋体"/>
          <w:color w:val="auto"/>
          <w:sz w:val="21"/>
          <w:szCs w:val="21"/>
          <w:highlight w:val="none"/>
        </w:rPr>
        <w:t>税收凭据复印件，上述证明材料真实有效，否则我方负全部责任。</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2、依法减免税收的投标人</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）现附上我方依法减免税收的证明材料复印件，上述证明材料真实有效，否则我方负全部责任。</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2、投标人提供的税收凭据复印件应符合下列规定：</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2.1投标截止时间前（不含投标截止时间的当月）已依法缴纳税收的投标人，提供投标截止时间当月或上一个月的税收凭据复印件。</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2.2投标截止时间的当月成立且已依法缴纳税收的投标人，提供投标截止时间当月的税收凭据复印件。</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2.3投标截止时间的当月成立但因税务机关原因导致其尚未依法缴纳税收的投标人，提供依法缴纳税收承诺书（格式自拟），该承诺书视同税收凭据。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jc w:val="center"/>
        <w:rPr>
          <w:rStyle w:val="22"/>
          <w:rFonts w:hint="eastAsia" w:ascii="宋体" w:hAnsi="宋体" w:eastAsia="宋体" w:cs="宋体"/>
          <w:color w:val="auto"/>
          <w:sz w:val="21"/>
          <w:szCs w:val="21"/>
          <w:highlight w:val="none"/>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二-5依法缴纳社会保障资金证明材料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（采购人或采购代理机构） </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1、依法缴纳社会保障资金的投标人</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）法人（包括企业、事业单位和社会团体）的</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）非法人（包括其他组织、自然人）的</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2、依法不需要缴纳或暂缓缴纳社会保障资金的投标人</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）现附上我方依法不需要缴纳或暂缓缴纳社会保障资金证明材料复印件，上述证明材料真实有效，否则我方负全部责任。</w:t>
      </w:r>
    </w:p>
    <w:p>
      <w:pPr>
        <w:pStyle w:val="16"/>
        <w:keepNext w:val="0"/>
        <w:keepLines w:val="0"/>
        <w:widowControl/>
        <w:suppressLineNumbers w:val="0"/>
        <w:rPr>
          <w:color w:val="auto"/>
          <w:highlight w:val="none"/>
        </w:rPr>
      </w:pPr>
      <w:r>
        <w:rPr>
          <w:rFonts w:hint="default" w:ascii="Calibri" w:hAnsi="Calibri" w:cs="Calibri"/>
          <w:color w:val="auto"/>
          <w:sz w:val="21"/>
          <w:szCs w:val="21"/>
          <w:highlight w:val="none"/>
        </w:rPr>
        <w:t> </w:t>
      </w: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2、投标人提供的社会保险凭据复印件应符合下列规定：</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2.1投标截止时间前（不含投标截止时间的当月）已依法缴纳社会保障资金的投标人，提供投标截止时间当月或上一个月的社会保险凭据复印件。</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2.2投标截止时间的当月成立且已依法缴纳社会保障资金的投标人，提供投标截止时间当月的社会保险凭据复印件。</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2.3投标截止时间的当月成立但因税务机关</w:t>
      </w:r>
      <w:r>
        <w:rPr>
          <w:rFonts w:hint="default" w:ascii="Calibri" w:hAnsi="Calibri" w:eastAsia="宋体" w:cs="Calibri"/>
          <w:color w:val="auto"/>
          <w:sz w:val="21"/>
          <w:szCs w:val="21"/>
          <w:highlight w:val="none"/>
        </w:rPr>
        <w:t>/</w:t>
      </w:r>
      <w:r>
        <w:rPr>
          <w:rFonts w:hint="eastAsia" w:ascii="宋体" w:hAnsi="宋体" w:eastAsia="宋体" w:cs="宋体"/>
          <w:color w:val="auto"/>
          <w:sz w:val="21"/>
          <w:szCs w:val="21"/>
          <w:highlight w:val="none"/>
        </w:rPr>
        <w:t>社会保障资金管理机关原因导致其尚未依法缴纳社会保障资金的投标人，提供依法缴纳社会保障资金承诺书（格式自拟），该承诺书视同社会保险凭据。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rPr>
          <w:color w:val="auto"/>
          <w:highlight w:val="none"/>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二</w:t>
      </w:r>
      <w:r>
        <w:rPr>
          <w:rStyle w:val="22"/>
          <w:rFonts w:hint="eastAsia" w:ascii="宋体" w:hAnsi="宋体" w:eastAsia="宋体" w:cs="宋体"/>
          <w:color w:val="auto"/>
          <w:sz w:val="21"/>
          <w:szCs w:val="21"/>
          <w:highlight w:val="none"/>
        </w:rPr>
        <w:t>-6具备履行合同所必需设备和专业技术能力的声明函（若有）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（采购人或采购代理机构） </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我方具备履行合同所必需的设备和专业技术能力，否则产生不利后果由我方承担责任。</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特此声明。</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1、招标文件未要求投标人提供“具备履行合同所必需的设备和专业技术能力专项证明材料”的，投标人应提供本声明函。</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2、招标文件要求投标人提供“具备履行合同所必需的设备和专业技术能力专项证明材料”的，投标人可不提供本声明函。</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3、请投标人根据实际情况如实声明，否则</w:t>
      </w:r>
      <w:r>
        <w:rPr>
          <w:rStyle w:val="22"/>
          <w:rFonts w:hint="eastAsia" w:ascii="宋体" w:hAnsi="宋体" w:eastAsia="宋体" w:cs="宋体"/>
          <w:color w:val="auto"/>
          <w:sz w:val="21"/>
          <w:szCs w:val="21"/>
          <w:highlight w:val="none"/>
        </w:rPr>
        <w:t>视为提供虚假材料。</w:t>
      </w:r>
    </w:p>
    <w:p>
      <w:pPr>
        <w:pStyle w:val="16"/>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6"/>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二</w:t>
      </w:r>
      <w:r>
        <w:rPr>
          <w:rStyle w:val="22"/>
          <w:rFonts w:hint="eastAsia" w:ascii="宋体" w:hAnsi="宋体" w:eastAsia="宋体" w:cs="宋体"/>
          <w:color w:val="auto"/>
          <w:sz w:val="21"/>
          <w:szCs w:val="21"/>
          <w:highlight w:val="none"/>
        </w:rPr>
        <w:t>-7参加采购活动前三年内在经营活动中没有重大违法记录书面声明</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（采购人或采购代理机构） </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特此声明。</w:t>
      </w:r>
    </w:p>
    <w:p>
      <w:pPr>
        <w:pStyle w:val="16"/>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请投标人根据实际情况如实声明，否则</w:t>
      </w:r>
      <w:r>
        <w:rPr>
          <w:rStyle w:val="22"/>
          <w:rFonts w:hint="eastAsia" w:ascii="宋体" w:hAnsi="宋体" w:eastAsia="宋体" w:cs="宋体"/>
          <w:color w:val="auto"/>
          <w:sz w:val="21"/>
          <w:szCs w:val="21"/>
          <w:highlight w:val="none"/>
        </w:rPr>
        <w:t>视为提供虚假材料。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二</w:t>
      </w:r>
      <w:r>
        <w:rPr>
          <w:rStyle w:val="22"/>
          <w:rFonts w:hint="eastAsia" w:ascii="宋体" w:hAnsi="宋体" w:eastAsia="宋体" w:cs="宋体"/>
          <w:color w:val="auto"/>
          <w:sz w:val="21"/>
          <w:szCs w:val="21"/>
          <w:highlight w:val="none"/>
        </w:rPr>
        <w:t>-8信用记录查询提示</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highlight w:val="none"/>
        </w:rPr>
        <w:t> </w:t>
      </w:r>
      <w:r>
        <w:rPr>
          <w:rFonts w:hint="eastAsia" w:ascii="宋体" w:hAnsi="宋体" w:eastAsia="宋体" w:cs="宋体"/>
          <w:color w:val="auto"/>
          <w:sz w:val="21"/>
          <w:szCs w:val="21"/>
          <w:highlight w:val="none"/>
        </w:rPr>
        <w:t xml:space="preserve"> 1、由资格审查小组通过网站查询并打印投标人的信用记录。</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16"/>
        <w:keepNext w:val="0"/>
        <w:keepLines w:val="0"/>
        <w:widowControl/>
        <w:suppressLineNumbers w:val="0"/>
        <w:rPr>
          <w:color w:val="auto"/>
          <w:highlight w:val="none"/>
        </w:rPr>
      </w:pP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5"/>
        <w:keepNext w:val="0"/>
        <w:keepLines w:val="0"/>
        <w:widowControl/>
        <w:suppressLineNumbers w:val="0"/>
        <w:spacing w:before="150" w:beforeAutospacing="0" w:after="150" w:afterAutospacing="0"/>
        <w:jc w:val="center"/>
        <w:rPr>
          <w:color w:val="auto"/>
          <w:highlight w:val="none"/>
        </w:rPr>
      </w:pPr>
      <w:r>
        <w:rPr>
          <w:rStyle w:val="22"/>
          <w:rFonts w:hint="eastAsia" w:ascii="宋体" w:hAnsi="宋体" w:eastAsia="宋体" w:cs="宋体"/>
          <w:b/>
          <w:color w:val="auto"/>
          <w:highlight w:val="none"/>
        </w:rPr>
        <w:t>二-9中小企业声明函</w:t>
      </w:r>
    </w:p>
    <w:p>
      <w:pPr>
        <w:pStyle w:val="16"/>
        <w:keepNext w:val="0"/>
        <w:keepLines w:val="0"/>
        <w:widowControl/>
        <w:suppressLineNumbers w:val="0"/>
        <w:spacing w:after="240" w:afterAutospacing="0"/>
        <w:jc w:val="center"/>
        <w:rPr>
          <w:color w:val="auto"/>
          <w:highlight w:val="none"/>
        </w:rPr>
      </w:pPr>
      <w:r>
        <w:rPr>
          <w:rStyle w:val="22"/>
          <w:rFonts w:hint="eastAsia" w:ascii="宋体" w:hAnsi="宋体" w:eastAsia="宋体" w:cs="宋体"/>
          <w:color w:val="auto"/>
          <w:sz w:val="21"/>
          <w:szCs w:val="21"/>
          <w:highlight w:val="none"/>
        </w:rPr>
        <w:t>（以资格条件落实中小企业扶持政策时适用，若有）</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中小企业声明函（货物）</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采购活动，提供的货物全部由符合政策要求的中小企业制造。相关企业（含联合体中的中小企业、签订分包意向协议的中小企业）的具体情况如下：</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1. </w:t>
      </w:r>
      <w:r>
        <w:rPr>
          <w:rFonts w:hint="eastAsia" w:ascii="宋体" w:hAnsi="宋体" w:eastAsia="宋体" w:cs="宋体"/>
          <w:color w:val="auto"/>
          <w:sz w:val="21"/>
          <w:szCs w:val="21"/>
          <w:highlight w:val="none"/>
          <w:u w:val="single"/>
        </w:rPr>
        <w:t> （标的名称） </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（采购文件中明确的所属行业）行业</w:t>
      </w:r>
      <w:r>
        <w:rPr>
          <w:rFonts w:hint="eastAsia" w:ascii="宋体" w:hAnsi="宋体" w:eastAsia="宋体" w:cs="宋体"/>
          <w:color w:val="auto"/>
          <w:sz w:val="21"/>
          <w:szCs w:val="21"/>
          <w:highlight w:val="none"/>
        </w:rPr>
        <w:t>；制造商为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（中型企业、小型企业、微型企业）；</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2. </w:t>
      </w:r>
      <w:r>
        <w:rPr>
          <w:rFonts w:hint="eastAsia" w:ascii="宋体" w:hAnsi="宋体" w:eastAsia="宋体" w:cs="宋体"/>
          <w:color w:val="auto"/>
          <w:sz w:val="21"/>
          <w:szCs w:val="21"/>
          <w:highlight w:val="none"/>
          <w:u w:val="single"/>
        </w:rPr>
        <w:t> （标的名称） </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 （采购文件中明确的所属行业 ）行业；</w:t>
      </w:r>
      <w:r>
        <w:rPr>
          <w:rFonts w:hint="eastAsia" w:ascii="宋体" w:hAnsi="宋体" w:eastAsia="宋体" w:cs="宋体"/>
          <w:color w:val="auto"/>
          <w:sz w:val="21"/>
          <w:szCs w:val="21"/>
          <w:highlight w:val="none"/>
        </w:rPr>
        <w:t>制造商为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（中型企业、小型企业、微型企业）；</w:t>
      </w:r>
    </w:p>
    <w:p>
      <w:pPr>
        <w:pStyle w:val="16"/>
        <w:keepNext w:val="0"/>
        <w:keepLines w:val="0"/>
        <w:widowControl/>
        <w:suppressLineNumbers w:val="0"/>
        <w:spacing w:before="75" w:beforeAutospacing="0" w:after="75" w:afterAutospacing="0"/>
        <w:ind w:left="0" w:firstLine="420"/>
        <w:rPr>
          <w:color w:val="auto"/>
          <w:highlight w:val="none"/>
        </w:rPr>
      </w:pPr>
      <w:r>
        <w:rPr>
          <w:rFonts w:hint="default" w:ascii="Calibri" w:hAnsi="Calibri" w:cs="Calibri"/>
          <w:color w:val="auto"/>
          <w:sz w:val="24"/>
          <w:szCs w:val="24"/>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pStyle w:val="16"/>
        <w:keepNext w:val="0"/>
        <w:keepLines w:val="0"/>
        <w:widowControl/>
        <w:suppressLineNumbers w:val="0"/>
        <w:spacing w:before="75" w:beforeAutospacing="0" w:after="75" w:afterAutospacing="0"/>
        <w:ind w:left="0" w:firstLine="42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企业名称（盖章）：</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w:t>
      </w:r>
    </w:p>
    <w:p>
      <w:pPr>
        <w:pStyle w:val="16"/>
        <w:keepNext w:val="0"/>
        <w:keepLines w:val="0"/>
        <w:widowControl/>
        <w:suppressLineNumbers w:val="0"/>
        <w:spacing w:before="75" w:beforeAutospacing="0" w:after="75" w:afterAutospacing="0"/>
        <w:rPr>
          <w:color w:val="auto"/>
          <w:highlight w:val="none"/>
        </w:rPr>
      </w:pPr>
      <w:r>
        <w:rPr>
          <w:rFonts w:hint="default" w:ascii="Calibri" w:hAnsi="Calibri" w:cs="Calibri"/>
          <w:color w:val="auto"/>
          <w:sz w:val="21"/>
          <w:szCs w:val="21"/>
          <w:highlight w:val="none"/>
        </w:rPr>
        <w:t> </w:t>
      </w:r>
    </w:p>
    <w:p>
      <w:pPr>
        <w:pStyle w:val="16"/>
        <w:keepNext w:val="0"/>
        <w:keepLines w:val="0"/>
        <w:widowControl/>
        <w:suppressLineNumbers w:val="0"/>
        <w:spacing w:before="75" w:beforeAutospacing="0" w:after="75" w:afterAutospacing="0"/>
        <w:ind w:right="0"/>
        <w:rPr>
          <w:color w:val="auto"/>
          <w:highlight w:val="none"/>
        </w:rPr>
      </w:pPr>
      <w:r>
        <w:rPr>
          <w:rStyle w:val="22"/>
          <w:rFonts w:hint="eastAsia" w:ascii="宋体" w:hAnsi="宋体" w:eastAsia="宋体" w:cs="宋体"/>
          <w:color w:val="auto"/>
          <w:sz w:val="21"/>
          <w:szCs w:val="21"/>
          <w:highlight w:val="none"/>
        </w:rPr>
        <w:t>※注意：</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1、从业人员、营业收入、资产总额填报上一年度数据，无上一年度数据的新成立企业可不填报。</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keepNext w:val="0"/>
        <w:keepLines w:val="0"/>
        <w:pageBreakBefore/>
        <w:widowControl/>
        <w:suppressLineNumbers w:val="0"/>
        <w:spacing w:before="150" w:beforeAutospacing="0" w:after="150" w:afterAutospacing="0"/>
        <w:jc w:val="center"/>
        <w:rPr>
          <w:color w:val="auto"/>
          <w:highlight w:val="none"/>
        </w:rPr>
      </w:pPr>
      <w:r>
        <w:rPr>
          <w:rStyle w:val="22"/>
          <w:rFonts w:hint="eastAsia" w:ascii="宋体" w:hAnsi="宋体" w:eastAsia="宋体" w:cs="宋体"/>
          <w:b/>
          <w:color w:val="auto"/>
          <w:sz w:val="24"/>
          <w:szCs w:val="24"/>
          <w:highlight w:val="none"/>
        </w:rPr>
        <w:t>中小企业声明函（工程、服务）</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1. 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（中型企业、小型企业、微型企业）；</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2. </w:t>
      </w:r>
      <w:r>
        <w:rPr>
          <w:rFonts w:hint="eastAsia" w:ascii="宋体" w:hAnsi="宋体" w:eastAsia="宋体" w:cs="宋体"/>
          <w:color w:val="auto"/>
          <w:sz w:val="21"/>
          <w:szCs w:val="21"/>
          <w:highlight w:val="none"/>
          <w:u w:val="single"/>
        </w:rPr>
        <w:t>（标的名称）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（中型企业、小型企业、微型企业）；</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以上企业，不属于大企业的分支机构，不存在控股股东为大企业的情形，也不存在与大企业的负责人为同一人的情形。</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本企业对上述声明内容的真实性负责。如有虚假，将依法承担相应责任。</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firstLine="4410" w:firstLineChars="2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企业名称（盖章）： </w:t>
      </w:r>
    </w:p>
    <w:p>
      <w:pPr>
        <w:pStyle w:val="16"/>
        <w:keepNext w:val="0"/>
        <w:keepLines w:val="0"/>
        <w:widowControl/>
        <w:suppressLineNumbers w:val="0"/>
        <w:spacing w:before="75" w:beforeAutospacing="0" w:after="75" w:afterAutospacing="0"/>
        <w:ind w:firstLine="4410" w:firstLineChars="2100"/>
        <w:rPr>
          <w:color w:val="auto"/>
          <w:highlight w:val="none"/>
        </w:rPr>
      </w:pPr>
      <w:r>
        <w:rPr>
          <w:rFonts w:hint="eastAsia" w:ascii="宋体" w:hAnsi="宋体" w:eastAsia="宋体" w:cs="宋体"/>
          <w:color w:val="auto"/>
          <w:sz w:val="21"/>
          <w:szCs w:val="21"/>
          <w:highlight w:val="none"/>
        </w:rPr>
        <w:t>日期：</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right="0"/>
        <w:rPr>
          <w:color w:val="auto"/>
          <w:highlight w:val="none"/>
        </w:rPr>
      </w:pPr>
      <w:r>
        <w:rPr>
          <w:rStyle w:val="22"/>
          <w:rFonts w:hint="eastAsia" w:ascii="宋体" w:hAnsi="宋体" w:eastAsia="宋体" w:cs="宋体"/>
          <w:color w:val="auto"/>
          <w:sz w:val="21"/>
          <w:szCs w:val="21"/>
          <w:highlight w:val="none"/>
        </w:rPr>
        <w:t>※注意：</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1、从业人员、营业收入、资产总额填报上一年度数据，无上一年度数据的新成立企业可不填报。</w:t>
      </w:r>
    </w:p>
    <w:p>
      <w:pPr>
        <w:pStyle w:val="16"/>
        <w:keepNext w:val="0"/>
        <w:keepLines w:val="0"/>
        <w:widowControl/>
        <w:suppressLineNumbers w:val="0"/>
        <w:spacing w:before="75" w:beforeAutospacing="0" w:after="75" w:afterAutospacing="0"/>
        <w:ind w:left="0" w:firstLine="420"/>
        <w:rPr>
          <w:rStyle w:val="22"/>
          <w:rFonts w:hint="eastAsia" w:ascii="宋体" w:hAnsi="宋体" w:eastAsia="宋体" w:cs="宋体"/>
          <w:color w:val="auto"/>
          <w:sz w:val="21"/>
          <w:szCs w:val="21"/>
          <w:highlight w:val="none"/>
          <w:lang w:eastAsia="zh-CN"/>
        </w:rPr>
      </w:pPr>
      <w:r>
        <w:rPr>
          <w:rStyle w:val="22"/>
          <w:rFonts w:hint="eastAsia" w:ascii="宋体" w:hAnsi="宋体" w:eastAsia="宋体" w:cs="宋体"/>
          <w:color w:val="auto"/>
          <w:sz w:val="21"/>
          <w:szCs w:val="21"/>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22"/>
          <w:rFonts w:hint="default" w:ascii="Calibri" w:hAnsi="Calibri" w:cs="Calibri"/>
          <w:color w:val="auto"/>
          <w:sz w:val="21"/>
          <w:szCs w:val="21"/>
          <w:highlight w:val="none"/>
        </w:rPr>
        <w:t>     </w:t>
      </w:r>
      <w:r>
        <w:rPr>
          <w:rFonts w:hint="default" w:ascii="Calibri" w:hAnsi="Calibri" w:cs="Calibri"/>
          <w:color w:val="auto"/>
          <w:sz w:val="21"/>
          <w:szCs w:val="21"/>
          <w:highlight w:val="none"/>
        </w:rPr>
        <w:t>          </w:t>
      </w: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rPr>
      </w:pP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rPr>
      </w:pPr>
    </w:p>
    <w:p>
      <w:pPr>
        <w:pStyle w:val="16"/>
        <w:keepNext w:val="0"/>
        <w:keepLines w:val="0"/>
        <w:widowControl/>
        <w:suppressLineNumbers w:val="0"/>
        <w:spacing w:before="75" w:beforeAutospacing="0" w:after="75" w:afterAutospacing="0"/>
        <w:rPr>
          <w:rFonts w:hint="eastAsia" w:ascii="宋体" w:hAnsi="宋体" w:eastAsia="宋体" w:cs="宋体"/>
          <w:color w:val="auto"/>
          <w:sz w:val="21"/>
          <w:szCs w:val="21"/>
          <w:highlight w:val="none"/>
        </w:rPr>
      </w:pP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附：</w:t>
      </w:r>
    </w:p>
    <w:p>
      <w:pPr>
        <w:pStyle w:val="16"/>
        <w:keepNext w:val="0"/>
        <w:keepLines w:val="0"/>
        <w:widowControl/>
        <w:suppressLineNumbers w:val="0"/>
        <w:spacing w:before="75" w:beforeAutospacing="0" w:after="75" w:afterAutospacing="0"/>
        <w:jc w:val="center"/>
        <w:rPr>
          <w:color w:val="auto"/>
          <w:highlight w:val="none"/>
        </w:rPr>
      </w:pPr>
      <w:r>
        <w:rPr>
          <w:rStyle w:val="22"/>
          <w:rFonts w:hint="eastAsia" w:ascii="宋体" w:hAnsi="宋体" w:eastAsia="宋体" w:cs="宋体"/>
          <w:color w:val="auto"/>
          <w:sz w:val="24"/>
          <w:szCs w:val="24"/>
          <w:highlight w:val="none"/>
        </w:rPr>
        <w:t>残疾人福利性单位声明函</w:t>
      </w:r>
    </w:p>
    <w:p>
      <w:pPr>
        <w:pStyle w:val="16"/>
        <w:keepNext w:val="0"/>
        <w:keepLines w:val="0"/>
        <w:widowControl/>
        <w:suppressLineNumbers w:val="0"/>
        <w:spacing w:before="75" w:beforeAutospacing="0" w:after="75" w:afterAutospacing="0"/>
        <w:jc w:val="center"/>
        <w:rPr>
          <w:color w:val="auto"/>
          <w:highlight w:val="none"/>
        </w:rPr>
      </w:pPr>
      <w:r>
        <w:rPr>
          <w:rStyle w:val="22"/>
          <w:rFonts w:hint="eastAsia" w:ascii="宋体" w:hAnsi="宋体" w:eastAsia="宋体" w:cs="宋体"/>
          <w:color w:val="auto"/>
          <w:sz w:val="21"/>
          <w:szCs w:val="21"/>
          <w:highlight w:val="none"/>
        </w:rPr>
        <w:t>（以资格条件落实中小企业扶持政策时适用，若有）</w:t>
      </w:r>
    </w:p>
    <w:p>
      <w:pPr>
        <w:pStyle w:val="16"/>
        <w:keepNext w:val="0"/>
        <w:keepLines w:val="0"/>
        <w:widowControl/>
        <w:suppressLineNumbers w:val="0"/>
        <w:spacing w:before="75" w:beforeAutospacing="0" w:after="75" w:afterAutospacing="0"/>
        <w:rPr>
          <w:color w:val="auto"/>
          <w:highlight w:val="none"/>
        </w:rPr>
      </w:pPr>
      <w:r>
        <w:rPr>
          <w:rStyle w:val="22"/>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）由本投标人承建的（填写“所投采购包、品目号”）工程</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）由本投标人承接的（填写“所投采购包、品目号”）服务；</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本投标人对上述声明的真实性负责。如有虚假，将依法承担相应责任。</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备注：</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1、请投标人按照实际情况编制填写本声明函，并在相应的（）中打“√”。</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2、若《残疾人福利性单位声明函》内容不真实，</w:t>
      </w:r>
      <w:r>
        <w:rPr>
          <w:rStyle w:val="22"/>
          <w:rFonts w:hint="eastAsia" w:ascii="宋体" w:hAnsi="宋体" w:eastAsia="宋体" w:cs="宋体"/>
          <w:color w:val="auto"/>
          <w:sz w:val="21"/>
          <w:szCs w:val="21"/>
          <w:highlight w:val="none"/>
        </w:rPr>
        <w:t>视为提供虚假材料。</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default" w:ascii="Calibri" w:hAnsi="Calibri" w:cs="Calibri"/>
          <w:color w:val="auto"/>
          <w:sz w:val="21"/>
          <w:szCs w:val="21"/>
          <w:highlight w:val="none"/>
        </w:rPr>
        <w:t>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spacing w:before="75" w:beforeAutospacing="0" w:after="75" w:afterAutospacing="0"/>
        <w:ind w:left="0" w:firstLine="420"/>
        <w:rPr>
          <w:color w:val="auto"/>
          <w:highlight w:val="none"/>
        </w:rPr>
      </w:pPr>
      <w:r>
        <w:rPr>
          <w:rFonts w:hint="default" w:ascii="Calibri" w:hAnsi="Calibri" w:cs="Calibri"/>
          <w:color w:val="auto"/>
          <w:sz w:val="24"/>
          <w:szCs w:val="24"/>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Fonts w:hint="default" w:ascii="Calibri" w:hAnsi="Calibri" w:cs="Calibri"/>
          <w:color w:val="auto"/>
          <w:sz w:val="24"/>
          <w:szCs w:val="24"/>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firstLine="0"/>
        <w:rPr>
          <w:color w:val="auto"/>
          <w:highlight w:val="none"/>
        </w:rPr>
      </w:pPr>
      <w:r>
        <w:rPr>
          <w:rFonts w:hint="eastAsia" w:ascii="宋体" w:hAnsi="宋体" w:eastAsia="宋体" w:cs="宋体"/>
          <w:color w:val="auto"/>
          <w:sz w:val="21"/>
          <w:szCs w:val="21"/>
          <w:highlight w:val="none"/>
        </w:rPr>
        <w:t>附：                          </w:t>
      </w:r>
    </w:p>
    <w:p>
      <w:pPr>
        <w:pStyle w:val="16"/>
        <w:keepNext w:val="0"/>
        <w:keepLines w:val="0"/>
        <w:widowControl/>
        <w:suppressLineNumbers w:val="0"/>
        <w:spacing w:before="75" w:beforeAutospacing="0" w:after="75" w:afterAutospacing="0"/>
        <w:ind w:left="0" w:firstLine="0"/>
        <w:jc w:val="center"/>
        <w:rPr>
          <w:color w:val="auto"/>
          <w:highlight w:val="none"/>
        </w:rPr>
      </w:pPr>
      <w:r>
        <w:rPr>
          <w:rStyle w:val="22"/>
          <w:rFonts w:hint="eastAsia" w:ascii="宋体" w:hAnsi="宋体" w:eastAsia="宋体" w:cs="宋体"/>
          <w:color w:val="auto"/>
          <w:sz w:val="24"/>
          <w:szCs w:val="24"/>
          <w:highlight w:val="none"/>
        </w:rPr>
        <w:t>监狱企业证明材料</w:t>
      </w:r>
    </w:p>
    <w:p>
      <w:pPr>
        <w:pStyle w:val="16"/>
        <w:keepNext w:val="0"/>
        <w:keepLines w:val="0"/>
        <w:widowControl/>
        <w:suppressLineNumbers w:val="0"/>
        <w:spacing w:before="75" w:beforeAutospacing="0" w:after="75" w:afterAutospacing="0"/>
        <w:ind w:left="0" w:firstLine="0"/>
        <w:jc w:val="center"/>
        <w:rPr>
          <w:color w:val="auto"/>
          <w:highlight w:val="none"/>
        </w:rPr>
      </w:pPr>
      <w:r>
        <w:rPr>
          <w:rStyle w:val="22"/>
          <w:rFonts w:hint="eastAsia" w:ascii="宋体" w:hAnsi="宋体" w:eastAsia="宋体" w:cs="宋体"/>
          <w:color w:val="auto"/>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4"/>
          <w:szCs w:val="24"/>
          <w:highlight w:val="none"/>
          <w:shd w:val="clear" w:fill="FFFFFF"/>
        </w:rPr>
        <w:t>投标人为监狱企业，提供本单位制造的货物（承接的服务），并在投标文件中提供省级以上监狱管理局、戒毒管理局（含新疆生产建设兵团）出具的属于监狱企业的证明文件。</w:t>
      </w: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二-10联合体协议（若有）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（采购人或采购代理机构） </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兹有</w:t>
      </w:r>
      <w:r>
        <w:rPr>
          <w:rFonts w:hint="eastAsia" w:ascii="宋体" w:hAnsi="宋体" w:eastAsia="宋体" w:cs="宋体"/>
          <w:color w:val="auto"/>
          <w:sz w:val="21"/>
          <w:szCs w:val="21"/>
          <w:highlight w:val="none"/>
          <w:u w:val="single"/>
        </w:rPr>
        <w:t>（填写“联合体中各方的全称”，各方的全称之间请用“、”分割）</w:t>
      </w:r>
      <w:r>
        <w:rPr>
          <w:rFonts w:hint="eastAsia" w:ascii="宋体" w:hAnsi="宋体" w:eastAsia="宋体" w:cs="宋体"/>
          <w:color w:val="auto"/>
          <w:sz w:val="21"/>
          <w:szCs w:val="21"/>
          <w:highlight w:val="none"/>
        </w:rPr>
        <w:t>自愿组成联合体，共同参加</w:t>
      </w:r>
      <w:r>
        <w:rPr>
          <w:rFonts w:hint="eastAsia" w:ascii="宋体" w:hAnsi="宋体" w:eastAsia="宋体" w:cs="宋体"/>
          <w:color w:val="auto"/>
          <w:sz w:val="21"/>
          <w:szCs w:val="21"/>
          <w:highlight w:val="none"/>
          <w:u w:val="single"/>
        </w:rPr>
        <w:t xml:space="preserve">（填写“项目名称”） </w:t>
      </w:r>
      <w:r>
        <w:rPr>
          <w:rFonts w:hint="eastAsia" w:ascii="宋体" w:hAnsi="宋体" w:eastAsia="宋体" w:cs="宋体"/>
          <w:color w:val="auto"/>
          <w:sz w:val="21"/>
          <w:szCs w:val="21"/>
          <w:highlight w:val="none"/>
        </w:rPr>
        <w:t>项目（项目编号：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）的投标。现就联合体参加本项目投标的有关事宜达成下列协议：</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一、联合体各方应承担的工作和义务具体如下：</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1、牵头方（</w:t>
      </w:r>
      <w:r>
        <w:rPr>
          <w:rFonts w:hint="eastAsia" w:ascii="宋体" w:hAnsi="宋体" w:eastAsia="宋体" w:cs="宋体"/>
          <w:color w:val="auto"/>
          <w:sz w:val="21"/>
          <w:szCs w:val="21"/>
          <w:highlight w:val="none"/>
          <w:u w:val="single"/>
        </w:rPr>
        <w:t>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（填写“工作及义务的具体内容”） </w:t>
      </w:r>
      <w:r>
        <w:rPr>
          <w:rFonts w:hint="eastAsia" w:ascii="宋体" w:hAnsi="宋体" w:eastAsia="宋体" w:cs="宋体"/>
          <w:color w:val="auto"/>
          <w:sz w:val="21"/>
          <w:szCs w:val="21"/>
          <w:highlight w:val="none"/>
        </w:rPr>
        <w:t>；</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2、成员方：</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u w:val="single"/>
        </w:rPr>
        <w:t>（成员一的全称）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（填写“工作及义务的具体内容”） </w:t>
      </w:r>
      <w:r>
        <w:rPr>
          <w:rFonts w:hint="eastAsia" w:ascii="宋体" w:hAnsi="宋体" w:eastAsia="宋体" w:cs="宋体"/>
          <w:color w:val="auto"/>
          <w:sz w:val="21"/>
          <w:szCs w:val="21"/>
          <w:highlight w:val="none"/>
        </w:rPr>
        <w:t>；</w:t>
      </w:r>
    </w:p>
    <w:p>
      <w:pPr>
        <w:pStyle w:val="16"/>
        <w:keepNext w:val="0"/>
        <w:keepLines w:val="0"/>
        <w:widowControl/>
        <w:suppressLineNumbers w:val="0"/>
        <w:ind w:left="0" w:firstLine="420"/>
        <w:rPr>
          <w:color w:val="auto"/>
          <w:highlight w:val="none"/>
        </w:rPr>
      </w:pPr>
      <w:r>
        <w:rPr>
          <w:rFonts w:hint="default" w:ascii="Calibri" w:hAnsi="Calibri" w:cs="Calibri"/>
          <w:color w:val="auto"/>
          <w:sz w:val="21"/>
          <w:szCs w:val="21"/>
          <w:highlight w:val="none"/>
        </w:rPr>
        <w:t>……</w:t>
      </w: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line="360" w:lineRule="auto"/>
        <w:ind w:left="0" w:firstLine="435"/>
        <w:rPr>
          <w:color w:val="auto"/>
          <w:highlight w:val="none"/>
        </w:rPr>
      </w:pPr>
      <w:r>
        <w:rPr>
          <w:rFonts w:hint="eastAsia" w:ascii="宋体" w:hAnsi="宋体" w:eastAsia="宋体" w:cs="宋体"/>
          <w:color w:val="auto"/>
          <w:sz w:val="21"/>
          <w:szCs w:val="21"/>
          <w:highlight w:val="none"/>
        </w:rPr>
        <w:t>二、联合体各方的合同金额占比，具体如下：</w:t>
      </w:r>
    </w:p>
    <w:p>
      <w:pPr>
        <w:pStyle w:val="16"/>
        <w:keepNext w:val="0"/>
        <w:keepLines w:val="0"/>
        <w:widowControl/>
        <w:suppressLineNumbers w:val="0"/>
        <w:spacing w:line="360" w:lineRule="auto"/>
        <w:ind w:left="0" w:firstLine="435"/>
        <w:rPr>
          <w:color w:val="auto"/>
          <w:highlight w:val="none"/>
        </w:rPr>
      </w:pPr>
      <w:r>
        <w:rPr>
          <w:rFonts w:hint="eastAsia" w:ascii="宋体" w:hAnsi="宋体" w:eastAsia="宋体" w:cs="宋体"/>
          <w:color w:val="auto"/>
          <w:sz w:val="21"/>
          <w:szCs w:val="21"/>
          <w:highlight w:val="none"/>
        </w:rPr>
        <w:t>1.牵头方（</w:t>
      </w:r>
      <w:r>
        <w:rPr>
          <w:rFonts w:hint="eastAsia" w:ascii="宋体" w:hAnsi="宋体" w:eastAsia="宋体" w:cs="宋体"/>
          <w:color w:val="auto"/>
          <w:sz w:val="21"/>
          <w:szCs w:val="21"/>
          <w:highlight w:val="none"/>
          <w:u w:val="single"/>
        </w:rPr>
        <w:t xml:space="preserve">  全称 </w:t>
      </w:r>
      <w:r>
        <w:rPr>
          <w:rFonts w:hint="eastAsia" w:ascii="宋体" w:hAnsi="宋体" w:eastAsia="宋体" w:cs="宋体"/>
          <w:color w:val="auto"/>
          <w:sz w:val="21"/>
          <w:szCs w:val="21"/>
          <w:highlight w:val="none"/>
        </w:rPr>
        <w:t>）的合同金额占合同总额的＿%；</w:t>
      </w:r>
    </w:p>
    <w:p>
      <w:pPr>
        <w:pStyle w:val="16"/>
        <w:keepNext w:val="0"/>
        <w:keepLines w:val="0"/>
        <w:widowControl/>
        <w:suppressLineNumbers w:val="0"/>
        <w:spacing w:line="360" w:lineRule="auto"/>
        <w:ind w:left="0" w:firstLine="435"/>
        <w:rPr>
          <w:color w:val="auto"/>
          <w:highlight w:val="none"/>
        </w:rPr>
      </w:pPr>
      <w:r>
        <w:rPr>
          <w:rFonts w:hint="eastAsia" w:ascii="宋体" w:hAnsi="宋体" w:eastAsia="宋体" w:cs="宋体"/>
          <w:color w:val="auto"/>
          <w:sz w:val="21"/>
          <w:szCs w:val="21"/>
          <w:highlight w:val="none"/>
        </w:rPr>
        <w:t>2.成员方：</w:t>
      </w:r>
    </w:p>
    <w:p>
      <w:pPr>
        <w:pStyle w:val="16"/>
        <w:keepNext w:val="0"/>
        <w:keepLines w:val="0"/>
        <w:widowControl/>
        <w:suppressLineNumbers w:val="0"/>
        <w:spacing w:line="360" w:lineRule="auto"/>
        <w:ind w:left="0" w:firstLine="435"/>
        <w:rPr>
          <w:color w:val="auto"/>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u w:val="single"/>
        </w:rPr>
        <w:t xml:space="preserve"> 成员1的全称 </w:t>
      </w:r>
      <w:r>
        <w:rPr>
          <w:rFonts w:hint="eastAsia" w:ascii="宋体" w:hAnsi="宋体" w:eastAsia="宋体" w:cs="宋体"/>
          <w:color w:val="auto"/>
          <w:sz w:val="21"/>
          <w:szCs w:val="21"/>
          <w:highlight w:val="none"/>
        </w:rPr>
        <w:t>）的合同金额占合同总额的＿%；</w:t>
      </w:r>
    </w:p>
    <w:p>
      <w:pPr>
        <w:pStyle w:val="16"/>
        <w:keepNext w:val="0"/>
        <w:keepLines w:val="0"/>
        <w:widowControl/>
        <w:suppressLineNumbers w:val="0"/>
        <w:spacing w:before="75" w:beforeAutospacing="0" w:after="75" w:afterAutospacing="0" w:line="360" w:lineRule="auto"/>
        <w:ind w:left="0" w:right="0" w:firstLine="435"/>
        <w:rPr>
          <w:color w:val="auto"/>
          <w:highlight w:val="none"/>
        </w:rPr>
      </w:pPr>
      <w:r>
        <w:rPr>
          <w:rFonts w:hint="eastAsia" w:ascii="宋体" w:hAnsi="宋体" w:eastAsia="宋体" w:cs="宋体"/>
          <w:color w:val="auto"/>
          <w:sz w:val="21"/>
          <w:szCs w:val="21"/>
          <w:highlight w:val="none"/>
        </w:rPr>
        <w:t>……。</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三、联合体各方约定：</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1、由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2、联合体各方约定由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代表联合体办理投标保证金事宜。</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3、</w:t>
      </w:r>
      <w:r>
        <w:rPr>
          <w:rFonts w:hint="eastAsia" w:ascii="宋体" w:hAnsi="宋体" w:eastAsia="宋体" w:cs="宋体"/>
          <w:i w:val="0"/>
          <w:iCs w:val="0"/>
          <w:color w:val="auto"/>
          <w:spacing w:val="0"/>
          <w:sz w:val="21"/>
          <w:szCs w:val="21"/>
          <w:highlight w:val="none"/>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auto"/>
          <w:spacing w:val="0"/>
          <w:sz w:val="21"/>
          <w:szCs w:val="21"/>
          <w:highlight w:val="none"/>
          <w:u w:val="single"/>
        </w:rPr>
        <w:t>（应填写“其中一方的全称”，如：联合体确定以成员一的条件参与商务部分的评标，则填写“成员一的全称”…；否则填写“无”）</w:t>
      </w:r>
      <w:r>
        <w:rPr>
          <w:rFonts w:hint="eastAsia" w:ascii="宋体" w:hAnsi="宋体" w:eastAsia="宋体" w:cs="宋体"/>
          <w:i w:val="0"/>
          <w:iCs w:val="0"/>
          <w:color w:val="auto"/>
          <w:spacing w:val="0"/>
          <w:sz w:val="21"/>
          <w:szCs w:val="21"/>
          <w:highlight w:val="none"/>
        </w:rPr>
        <w:t>的条件参与商务部分的评标。</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五、本协议自签署之日起生效，政府采购合同履行完毕后自动失效。</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六、本协议一式</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份，联合体各方各执一份，投标文件中提交一份。</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（以下无正文）</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牵头方：</w:t>
      </w:r>
      <w:r>
        <w:rPr>
          <w:rFonts w:hint="eastAsia" w:ascii="宋体" w:hAnsi="宋体" w:eastAsia="宋体" w:cs="宋体"/>
          <w:color w:val="auto"/>
          <w:sz w:val="21"/>
          <w:szCs w:val="21"/>
          <w:highlight w:val="none"/>
          <w:u w:val="single"/>
        </w:rPr>
        <w:t>（全称并加盖单位公章）</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（签字或盖章）  </w:t>
      </w: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成员一：</w:t>
      </w:r>
      <w:r>
        <w:rPr>
          <w:rFonts w:hint="eastAsia" w:ascii="宋体" w:hAnsi="宋体" w:eastAsia="宋体" w:cs="宋体"/>
          <w:color w:val="auto"/>
          <w:sz w:val="21"/>
          <w:szCs w:val="21"/>
          <w:highlight w:val="none"/>
          <w:u w:val="single"/>
        </w:rPr>
        <w:t>（全称并加盖成员一的单位公章）</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（签字或盖章）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成员**：</w:t>
      </w:r>
      <w:r>
        <w:rPr>
          <w:rFonts w:hint="eastAsia" w:ascii="宋体" w:hAnsi="宋体" w:eastAsia="宋体" w:cs="宋体"/>
          <w:color w:val="auto"/>
          <w:sz w:val="21"/>
          <w:szCs w:val="21"/>
          <w:highlight w:val="none"/>
          <w:u w:val="single"/>
        </w:rPr>
        <w:t>（全称并加盖成员**的单位公章）</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（签字或盖章）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1、招标文件接受联合体投标且投标人为联合体的，投标人应提供本协议；否则无须提供。</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2、本协议由委托代理人签字或盖章的，应按照本章载明的格式提供“单位授权书”。</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3、在以联合体形式落实中小企业预留份额项目中，投标人除了要提供《中小企业声明函》，还需提供本协议。 </w:t>
      </w:r>
    </w:p>
    <w:p>
      <w:pPr>
        <w:pStyle w:val="16"/>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spacing w:after="240" w:afterAutospacing="0"/>
        <w:jc w:val="center"/>
        <w:rPr>
          <w:color w:val="auto"/>
          <w:highlight w:val="none"/>
        </w:rPr>
      </w:pPr>
      <w:r>
        <w:rPr>
          <w:rStyle w:val="22"/>
          <w:rFonts w:hint="eastAsia" w:ascii="宋体" w:hAnsi="宋体" w:eastAsia="宋体" w:cs="宋体"/>
          <w:color w:val="auto"/>
          <w:highlight w:val="none"/>
        </w:rPr>
        <w:t>二-11分包意向协议（若有）</w:t>
      </w:r>
    </w:p>
    <w:p>
      <w:pPr>
        <w:pStyle w:val="16"/>
        <w:keepNext w:val="0"/>
        <w:keepLines w:val="0"/>
        <w:widowControl/>
        <w:suppressLineNumbers w:val="0"/>
        <w:spacing w:line="435" w:lineRule="atLeast"/>
        <w:rPr>
          <w:color w:val="auto"/>
          <w:highlight w:val="none"/>
        </w:rPr>
      </w:pPr>
      <w:r>
        <w:rPr>
          <w:rFonts w:hint="eastAsia" w:ascii="宋体" w:hAnsi="宋体" w:eastAsia="宋体" w:cs="宋体"/>
          <w:color w:val="auto"/>
          <w:sz w:val="21"/>
          <w:szCs w:val="21"/>
          <w:highlight w:val="none"/>
        </w:rPr>
        <w:t>甲方（总包方）：</w:t>
      </w:r>
      <w:r>
        <w:rPr>
          <w:rFonts w:hint="eastAsia" w:ascii="宋体" w:hAnsi="宋体" w:eastAsia="宋体" w:cs="宋体"/>
          <w:color w:val="auto"/>
          <w:sz w:val="21"/>
          <w:szCs w:val="21"/>
          <w:highlight w:val="none"/>
          <w:u w:val="single"/>
        </w:rPr>
        <w:t>                    </w:t>
      </w:r>
      <w:r>
        <w:rPr>
          <w:color w:val="auto"/>
          <w:highlight w:val="none"/>
          <w:u w:val="single"/>
        </w:rPr>
        <w:t>　</w:t>
      </w:r>
      <w:r>
        <w:rPr>
          <w:rFonts w:hint="eastAsia" w:ascii="宋体" w:hAnsi="宋体" w:eastAsia="宋体" w:cs="宋体"/>
          <w:color w:val="auto"/>
          <w:sz w:val="21"/>
          <w:szCs w:val="21"/>
          <w:highlight w:val="none"/>
        </w:rPr>
        <w:t>（即本项目的投标人）</w:t>
      </w:r>
    </w:p>
    <w:p>
      <w:pPr>
        <w:pStyle w:val="16"/>
        <w:keepNext w:val="0"/>
        <w:keepLines w:val="0"/>
        <w:widowControl/>
        <w:suppressLineNumbers w:val="0"/>
        <w:spacing w:before="75" w:beforeAutospacing="0" w:after="75" w:afterAutospacing="0" w:line="360" w:lineRule="auto"/>
        <w:rPr>
          <w:color w:val="auto"/>
          <w:highlight w:val="none"/>
        </w:rPr>
      </w:pPr>
      <w:r>
        <w:rPr>
          <w:rFonts w:hint="eastAsia" w:ascii="宋体" w:hAnsi="宋体" w:eastAsia="宋体" w:cs="宋体"/>
          <w:color w:val="auto"/>
          <w:sz w:val="21"/>
          <w:szCs w:val="21"/>
          <w:highlight w:val="none"/>
        </w:rPr>
        <w:t>乙方（分包方）：</w:t>
      </w:r>
      <w:r>
        <w:rPr>
          <w:rFonts w:hint="eastAsia" w:ascii="宋体" w:hAnsi="宋体" w:eastAsia="宋体" w:cs="宋体"/>
          <w:color w:val="auto"/>
          <w:sz w:val="21"/>
          <w:szCs w:val="21"/>
          <w:highlight w:val="none"/>
          <w:u w:val="single"/>
        </w:rPr>
        <w:t>                     　　　　　　　    </w:t>
      </w:r>
    </w:p>
    <w:p>
      <w:pPr>
        <w:pStyle w:val="16"/>
        <w:keepNext w:val="0"/>
        <w:keepLines w:val="0"/>
        <w:widowControl/>
        <w:suppressLineNumbers w:val="0"/>
        <w:spacing w:before="75" w:beforeAutospacing="0" w:after="75" w:afterAutospacing="0" w:line="360" w:lineRule="auto"/>
        <w:ind w:left="0" w:firstLine="435"/>
        <w:rPr>
          <w:color w:val="auto"/>
          <w:highlight w:val="none"/>
        </w:rPr>
      </w:pPr>
      <w:r>
        <w:rPr>
          <w:rFonts w:hint="eastAsia" w:ascii="宋体" w:hAnsi="宋体" w:eastAsia="宋体" w:cs="宋体"/>
          <w:color w:val="auto"/>
          <w:sz w:val="21"/>
          <w:szCs w:val="21"/>
          <w:highlight w:val="none"/>
        </w:rPr>
        <w:t>兹有甲方参加</w:t>
      </w:r>
      <w:r>
        <w:rPr>
          <w:rFonts w:hint="eastAsia" w:ascii="宋体" w:hAnsi="宋体" w:eastAsia="宋体" w:cs="宋体"/>
          <w:color w:val="auto"/>
          <w:sz w:val="21"/>
          <w:szCs w:val="21"/>
          <w:highlight w:val="none"/>
          <w:u w:val="single"/>
        </w:rPr>
        <w:t xml:space="preserve">（填写“项目名称”） </w:t>
      </w:r>
      <w:r>
        <w:rPr>
          <w:rFonts w:hint="eastAsia" w:ascii="宋体" w:hAnsi="宋体" w:eastAsia="宋体" w:cs="宋体"/>
          <w:color w:val="auto"/>
          <w:sz w:val="21"/>
          <w:szCs w:val="21"/>
          <w:highlight w:val="none"/>
        </w:rPr>
        <w:t>项目（项目编号：</w:t>
      </w:r>
      <w:r>
        <w:rPr>
          <w:rFonts w:hint="default" w:ascii="Calibri" w:hAnsi="Calibri" w:cs="Calibri"/>
          <w:color w:val="auto"/>
          <w:sz w:val="21"/>
          <w:szCs w:val="21"/>
          <w:highlight w:val="none"/>
          <w:u w:val="single"/>
        </w:rPr>
        <w:t>         </w:t>
      </w:r>
      <w:r>
        <w:rPr>
          <w:rFonts w:hint="eastAsia" w:ascii="宋体" w:hAnsi="宋体" w:eastAsia="宋体" w:cs="宋体"/>
          <w:color w:val="auto"/>
          <w:sz w:val="21"/>
          <w:szCs w:val="21"/>
          <w:highlight w:val="none"/>
        </w:rPr>
        <w:t>）的政府采购活动。甲方期望将采购项目的部分采购标的分包给乙方完成，而乙方保证能够向甲方提供本协议项下的采购标的，甲、乙双方就合同分包的有关事宜达成下列协议：</w:t>
      </w:r>
    </w:p>
    <w:p>
      <w:pPr>
        <w:pStyle w:val="16"/>
        <w:keepNext w:val="0"/>
        <w:keepLines w:val="0"/>
        <w:widowControl/>
        <w:suppressLineNumbers w:val="0"/>
        <w:spacing w:before="0" w:beforeAutospacing="0" w:after="0" w:afterAutospacing="0" w:line="360" w:lineRule="auto"/>
        <w:ind w:left="0" w:firstLine="480"/>
        <w:rPr>
          <w:color w:val="auto"/>
          <w:highlight w:val="none"/>
        </w:rPr>
      </w:pPr>
      <w:r>
        <w:rPr>
          <w:rStyle w:val="22"/>
          <w:rFonts w:hint="eastAsia" w:ascii="宋体" w:hAnsi="宋体" w:eastAsia="宋体" w:cs="宋体"/>
          <w:color w:val="auto"/>
          <w:sz w:val="21"/>
          <w:szCs w:val="21"/>
          <w:highlight w:val="none"/>
        </w:rPr>
        <w:t>一、分包标的</w:t>
      </w:r>
    </w:p>
    <w:p>
      <w:pPr>
        <w:pStyle w:val="16"/>
        <w:keepNext w:val="0"/>
        <w:keepLines w:val="0"/>
        <w:widowControl/>
        <w:suppressLineNumbers w:val="0"/>
        <w:spacing w:before="0" w:beforeAutospacing="0" w:after="0" w:afterAutospacing="0" w:line="360" w:lineRule="auto"/>
        <w:ind w:left="0" w:firstLine="480"/>
        <w:rPr>
          <w:color w:val="auto"/>
          <w:highlight w:val="none"/>
        </w:rPr>
      </w:pPr>
      <w:r>
        <w:rPr>
          <w:rFonts w:hint="eastAsia" w:ascii="宋体" w:hAnsi="宋体" w:eastAsia="宋体" w:cs="宋体"/>
          <w:color w:val="auto"/>
          <w:sz w:val="21"/>
          <w:szCs w:val="21"/>
          <w:highlight w:val="none"/>
          <w:u w:val="single"/>
        </w:rPr>
        <w:t>（根据双方的意向填写，可以是表格或文字描述）</w:t>
      </w:r>
      <w:r>
        <w:rPr>
          <w:rFonts w:hint="eastAsia" w:ascii="宋体" w:hAnsi="宋体" w:eastAsia="宋体" w:cs="宋体"/>
          <w:color w:val="auto"/>
          <w:sz w:val="21"/>
          <w:szCs w:val="21"/>
          <w:highlight w:val="none"/>
        </w:rPr>
        <w:t>。</w:t>
      </w:r>
    </w:p>
    <w:p>
      <w:pPr>
        <w:pStyle w:val="16"/>
        <w:keepNext w:val="0"/>
        <w:keepLines w:val="0"/>
        <w:widowControl/>
        <w:suppressLineNumbers w:val="0"/>
        <w:spacing w:before="0" w:beforeAutospacing="0" w:after="0" w:afterAutospacing="0" w:line="360" w:lineRule="auto"/>
        <w:ind w:left="0" w:firstLine="480"/>
        <w:rPr>
          <w:color w:val="auto"/>
          <w:highlight w:val="none"/>
        </w:rPr>
      </w:pPr>
      <w:r>
        <w:rPr>
          <w:rStyle w:val="22"/>
          <w:rFonts w:hint="eastAsia" w:ascii="宋体" w:hAnsi="宋体" w:eastAsia="宋体" w:cs="宋体"/>
          <w:color w:val="auto"/>
          <w:sz w:val="21"/>
          <w:szCs w:val="21"/>
          <w:highlight w:val="none"/>
        </w:rPr>
        <w:t>二、分包合同金额占比</w:t>
      </w:r>
    </w:p>
    <w:p>
      <w:pPr>
        <w:pStyle w:val="16"/>
        <w:keepNext w:val="0"/>
        <w:keepLines w:val="0"/>
        <w:widowControl/>
        <w:suppressLineNumbers w:val="0"/>
        <w:spacing w:before="0" w:beforeAutospacing="0" w:after="0" w:afterAutospacing="0" w:line="360" w:lineRule="auto"/>
        <w:ind w:left="0" w:firstLine="480"/>
        <w:rPr>
          <w:color w:val="auto"/>
          <w:highlight w:val="none"/>
        </w:rPr>
      </w:pPr>
      <w:r>
        <w:rPr>
          <w:rFonts w:hint="eastAsia" w:ascii="宋体" w:hAnsi="宋体" w:eastAsia="宋体" w:cs="宋体"/>
          <w:color w:val="auto"/>
          <w:sz w:val="21"/>
          <w:szCs w:val="21"/>
          <w:highlight w:val="none"/>
        </w:rPr>
        <w:t>分包合同价占投标总价的比例：　　%</w:t>
      </w:r>
    </w:p>
    <w:p>
      <w:pPr>
        <w:pStyle w:val="16"/>
        <w:keepNext w:val="0"/>
        <w:keepLines w:val="0"/>
        <w:widowControl/>
        <w:suppressLineNumbers w:val="0"/>
        <w:spacing w:before="0" w:beforeAutospacing="0" w:after="0" w:afterAutospacing="0" w:line="360" w:lineRule="auto"/>
        <w:ind w:left="0" w:firstLine="480"/>
        <w:rPr>
          <w:color w:val="auto"/>
          <w:highlight w:val="none"/>
        </w:rPr>
      </w:pPr>
      <w:r>
        <w:rPr>
          <w:rStyle w:val="22"/>
          <w:rFonts w:hint="eastAsia" w:ascii="宋体" w:hAnsi="宋体" w:eastAsia="宋体" w:cs="宋体"/>
          <w:color w:val="auto"/>
          <w:sz w:val="21"/>
          <w:szCs w:val="21"/>
          <w:highlight w:val="none"/>
        </w:rPr>
        <w:t>三、其他条款</w:t>
      </w:r>
    </w:p>
    <w:p>
      <w:pPr>
        <w:pStyle w:val="16"/>
        <w:keepNext w:val="0"/>
        <w:keepLines w:val="0"/>
        <w:widowControl/>
        <w:suppressLineNumbers w:val="0"/>
        <w:spacing w:before="0" w:beforeAutospacing="0" w:after="0" w:afterAutospacing="0" w:line="360" w:lineRule="auto"/>
        <w:ind w:left="0" w:firstLine="480"/>
        <w:rPr>
          <w:color w:val="auto"/>
          <w:highlight w:val="none"/>
        </w:rPr>
      </w:pPr>
      <w:r>
        <w:rPr>
          <w:rFonts w:hint="eastAsia" w:ascii="宋体" w:hAnsi="宋体" w:eastAsia="宋体" w:cs="宋体"/>
          <w:color w:val="auto"/>
          <w:sz w:val="21"/>
          <w:szCs w:val="21"/>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9"/>
        <w:tblW w:w="8400" w:type="dxa"/>
        <w:tblCellSpacing w:w="15"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29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exact"/>
          <w:tblCellSpacing w:w="15" w:type="dxa"/>
        </w:trPr>
        <w:tc>
          <w:tcPr>
            <w:tcW w:w="424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甲方：</w:t>
            </w:r>
          </w:p>
        </w:tc>
        <w:tc>
          <w:tcPr>
            <w:tcW w:w="406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54" w:hRule="exact"/>
          <w:tblCellSpacing w:w="15" w:type="dxa"/>
        </w:trPr>
        <w:tc>
          <w:tcPr>
            <w:tcW w:w="424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住所：</w:t>
            </w:r>
          </w:p>
        </w:tc>
        <w:tc>
          <w:tcPr>
            <w:tcW w:w="406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54" w:hRule="exact"/>
          <w:tblCellSpacing w:w="15" w:type="dxa"/>
        </w:trPr>
        <w:tc>
          <w:tcPr>
            <w:tcW w:w="424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单</w:t>
            </w:r>
            <w:r>
              <w:rPr>
                <w:rFonts w:hint="eastAsia" w:ascii="宋体" w:hAnsi="宋体" w:eastAsia="宋体" w:cs="宋体"/>
                <w:color w:val="auto"/>
                <w:spacing w:val="-15"/>
                <w:sz w:val="21"/>
                <w:szCs w:val="21"/>
                <w:highlight w:val="none"/>
              </w:rPr>
              <w:t>位负责人或委托代理人：</w:t>
            </w:r>
          </w:p>
        </w:tc>
        <w:tc>
          <w:tcPr>
            <w:tcW w:w="406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单</w:t>
            </w:r>
            <w:r>
              <w:rPr>
                <w:rFonts w:hint="eastAsia" w:ascii="宋体" w:hAnsi="宋体" w:eastAsia="宋体" w:cs="宋体"/>
                <w:color w:val="auto"/>
                <w:spacing w:val="-15"/>
                <w:sz w:val="21"/>
                <w:szCs w:val="21"/>
                <w:highlight w:val="none"/>
              </w:rPr>
              <w:t>位负责人或委托代理人：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exact"/>
          <w:tblCellSpacing w:w="15" w:type="dxa"/>
        </w:trPr>
        <w:tc>
          <w:tcPr>
            <w:tcW w:w="424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联系方法：</w:t>
            </w:r>
          </w:p>
        </w:tc>
        <w:tc>
          <w:tcPr>
            <w:tcW w:w="406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联系方法：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exact"/>
          <w:tblCellSpacing w:w="15" w:type="dxa"/>
        </w:trPr>
        <w:tc>
          <w:tcPr>
            <w:tcW w:w="424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开户银行：</w:t>
            </w:r>
          </w:p>
        </w:tc>
        <w:tc>
          <w:tcPr>
            <w:tcW w:w="406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exact"/>
          <w:tblCellSpacing w:w="15" w:type="dxa"/>
        </w:trPr>
        <w:tc>
          <w:tcPr>
            <w:tcW w:w="424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账号：</w:t>
            </w:r>
          </w:p>
        </w:tc>
        <w:tc>
          <w:tcPr>
            <w:tcW w:w="4065" w:type="dxa"/>
            <w:shd w:val="clear" w:color="auto" w:fill="auto"/>
            <w:tcMar>
              <w:top w:w="0" w:type="dxa"/>
              <w:left w:w="105" w:type="dxa"/>
              <w:bottom w:w="0" w:type="dxa"/>
              <w:right w:w="105" w:type="dxa"/>
            </w:tcMar>
            <w:vAlign w:val="center"/>
          </w:tcPr>
          <w:p>
            <w:pPr>
              <w:pStyle w:val="16"/>
              <w:keepNext w:val="0"/>
              <w:keepLines w:val="0"/>
              <w:widowControl/>
              <w:suppressLineNumbers w:val="0"/>
              <w:spacing w:before="75" w:beforeAutospacing="0" w:after="75" w:afterAutospacing="0"/>
              <w:jc w:val="both"/>
              <w:rPr>
                <w:color w:val="auto"/>
                <w:highlight w:val="none"/>
              </w:rPr>
            </w:pPr>
            <w:r>
              <w:rPr>
                <w:rFonts w:hint="eastAsia" w:ascii="宋体" w:hAnsi="宋体" w:eastAsia="宋体" w:cs="宋体"/>
                <w:color w:val="auto"/>
                <w:sz w:val="21"/>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09" w:hRule="exact"/>
          <w:tblCellSpacing w:w="15" w:type="dxa"/>
        </w:trPr>
        <w:tc>
          <w:tcPr>
            <w:tcW w:w="8340" w:type="dxa"/>
            <w:gridSpan w:val="2"/>
            <w:shd w:val="clear" w:color="auto" w:fill="auto"/>
            <w:tcMar>
              <w:top w:w="0" w:type="dxa"/>
              <w:left w:w="105" w:type="dxa"/>
              <w:bottom w:w="0" w:type="dxa"/>
              <w:right w:w="105" w:type="dxa"/>
            </w:tcMar>
            <w:vAlign w:val="top"/>
          </w:tcPr>
          <w:p>
            <w:pPr>
              <w:pStyle w:val="16"/>
              <w:keepNext w:val="0"/>
              <w:keepLines w:val="0"/>
              <w:widowControl/>
              <w:suppressLineNumbers w:val="0"/>
              <w:spacing w:before="150" w:beforeAutospacing="0" w:after="0" w:afterAutospacing="0"/>
              <w:ind w:left="3045"/>
              <w:rPr>
                <w:color w:val="auto"/>
                <w:highlight w:val="none"/>
              </w:rPr>
            </w:pPr>
            <w:r>
              <w:rPr>
                <w:rFonts w:hint="eastAsia" w:ascii="宋体" w:hAnsi="宋体" w:eastAsia="宋体" w:cs="宋体"/>
                <w:color w:val="auto"/>
                <w:sz w:val="21"/>
                <w:szCs w:val="21"/>
                <w:highlight w:val="none"/>
              </w:rPr>
              <w:t>签订地点：</w:t>
            </w:r>
            <w:r>
              <w:rPr>
                <w:rFonts w:hint="default" w:ascii="Calibri" w:hAnsi="Calibri" w:cs="Calibri"/>
                <w:color w:val="auto"/>
                <w:sz w:val="21"/>
                <w:szCs w:val="21"/>
                <w:highlight w:val="none"/>
                <w:u w:val="single"/>
              </w:rPr>
              <w:t>                </w:t>
            </w:r>
          </w:p>
          <w:p>
            <w:pPr>
              <w:pStyle w:val="16"/>
              <w:keepNext w:val="0"/>
              <w:keepLines w:val="0"/>
              <w:widowControl/>
              <w:suppressLineNumbers w:val="0"/>
              <w:spacing w:before="0" w:beforeAutospacing="0" w:after="0" w:afterAutospacing="0" w:line="360" w:lineRule="auto"/>
              <w:ind w:left="3045"/>
              <w:rPr>
                <w:color w:val="auto"/>
                <w:highlight w:val="none"/>
              </w:rPr>
            </w:pPr>
            <w:r>
              <w:rPr>
                <w:rFonts w:hint="eastAsia" w:ascii="宋体" w:hAnsi="宋体" w:eastAsia="宋体" w:cs="宋体"/>
                <w:color w:val="auto"/>
                <w:sz w:val="21"/>
                <w:szCs w:val="21"/>
                <w:highlight w:val="none"/>
              </w:rPr>
              <w:t>签订日期：</w:t>
            </w:r>
            <w:r>
              <w:rPr>
                <w:rFonts w:hint="default" w:ascii="Calibri" w:hAnsi="Calibri" w:cs="Calibri"/>
                <w:color w:val="auto"/>
                <w:sz w:val="21"/>
                <w:szCs w:val="21"/>
                <w:highlight w:val="none"/>
              </w:rPr>
              <w:t>    </w:t>
            </w:r>
            <w:r>
              <w:rPr>
                <w:rFonts w:hint="eastAsia" w:ascii="宋体" w:hAnsi="宋体" w:eastAsia="宋体" w:cs="宋体"/>
                <w:color w:val="auto"/>
                <w:sz w:val="21"/>
                <w:szCs w:val="21"/>
                <w:highlight w:val="none"/>
              </w:rPr>
              <w:t>年</w:t>
            </w:r>
            <w:r>
              <w:rPr>
                <w:rFonts w:hint="default" w:ascii="Calibri" w:hAnsi="Calibri" w:cs="Calibri"/>
                <w:color w:val="auto"/>
                <w:sz w:val="21"/>
                <w:szCs w:val="21"/>
                <w:highlight w:val="none"/>
              </w:rPr>
              <w:t>   </w:t>
            </w:r>
            <w:r>
              <w:rPr>
                <w:rFonts w:hint="eastAsia" w:ascii="宋体" w:hAnsi="宋体" w:eastAsia="宋体" w:cs="宋体"/>
                <w:color w:val="auto"/>
                <w:sz w:val="21"/>
                <w:szCs w:val="21"/>
                <w:highlight w:val="none"/>
              </w:rPr>
              <w:t>月</w:t>
            </w:r>
            <w:r>
              <w:rPr>
                <w:rFonts w:hint="default" w:ascii="Calibri" w:hAnsi="Calibri" w:cs="Calibri"/>
                <w:color w:val="auto"/>
                <w:sz w:val="21"/>
                <w:szCs w:val="21"/>
                <w:highlight w:val="none"/>
              </w:rPr>
              <w:t>   </w:t>
            </w:r>
            <w:r>
              <w:rPr>
                <w:rFonts w:hint="eastAsia" w:ascii="宋体" w:hAnsi="宋体" w:eastAsia="宋体" w:cs="宋体"/>
                <w:color w:val="auto"/>
                <w:sz w:val="21"/>
                <w:szCs w:val="21"/>
                <w:highlight w:val="none"/>
              </w:rPr>
              <w:t>日</w:t>
            </w:r>
          </w:p>
        </w:tc>
      </w:tr>
    </w:tbl>
    <w:p>
      <w:pPr>
        <w:pStyle w:val="16"/>
        <w:keepNext w:val="0"/>
        <w:keepLines w:val="0"/>
        <w:widowControl/>
        <w:suppressLineNumbers w:val="0"/>
        <w:spacing w:before="75" w:beforeAutospacing="0" w:after="75" w:afterAutospacing="0"/>
        <w:rPr>
          <w:color w:val="auto"/>
          <w:highlight w:val="none"/>
        </w:rPr>
      </w:pPr>
      <w:r>
        <w:rPr>
          <w:rStyle w:val="22"/>
          <w:rFonts w:hint="eastAsia" w:ascii="宋体" w:hAnsi="宋体" w:eastAsia="宋体" w:cs="宋体"/>
          <w:color w:val="auto"/>
          <w:sz w:val="21"/>
          <w:szCs w:val="21"/>
          <w:highlight w:val="none"/>
        </w:rPr>
        <w:t>※注意：</w:t>
      </w:r>
    </w:p>
    <w:p>
      <w:pPr>
        <w:pStyle w:val="16"/>
        <w:keepNext w:val="0"/>
        <w:keepLines w:val="0"/>
        <w:widowControl/>
        <w:suppressLineNumbers w:val="0"/>
        <w:spacing w:line="360" w:lineRule="auto"/>
        <w:ind w:left="0" w:firstLine="435"/>
        <w:rPr>
          <w:color w:val="auto"/>
          <w:highlight w:val="none"/>
        </w:rPr>
      </w:pPr>
      <w:r>
        <w:rPr>
          <w:rStyle w:val="22"/>
          <w:rFonts w:hint="eastAsia" w:ascii="宋体" w:hAnsi="宋体" w:eastAsia="宋体" w:cs="宋体"/>
          <w:color w:val="auto"/>
          <w:sz w:val="21"/>
          <w:szCs w:val="21"/>
          <w:highlight w:val="none"/>
        </w:rPr>
        <w:t>1.招标文件接受合同分包且投标人拟将合同分包的，应提供本协议；否则无须提供。</w:t>
      </w:r>
    </w:p>
    <w:p>
      <w:pPr>
        <w:pStyle w:val="16"/>
        <w:keepNext w:val="0"/>
        <w:keepLines w:val="0"/>
        <w:widowControl/>
        <w:suppressLineNumbers w:val="0"/>
        <w:spacing w:line="360" w:lineRule="auto"/>
        <w:ind w:left="0" w:firstLine="435"/>
        <w:rPr>
          <w:color w:val="auto"/>
          <w:highlight w:val="none"/>
        </w:rPr>
      </w:pPr>
      <w:r>
        <w:rPr>
          <w:rStyle w:val="22"/>
          <w:rFonts w:hint="eastAsia" w:ascii="宋体" w:hAnsi="宋体" w:eastAsia="宋体" w:cs="宋体"/>
          <w:color w:val="auto"/>
          <w:sz w:val="21"/>
          <w:szCs w:val="21"/>
          <w:highlight w:val="none"/>
        </w:rPr>
        <w:t>2.本协议由委托代理人签字或盖章的，应按照本章载明的格式提供“单位授权书”。</w:t>
      </w:r>
    </w:p>
    <w:p>
      <w:pPr>
        <w:pStyle w:val="16"/>
        <w:keepNext w:val="0"/>
        <w:keepLines w:val="0"/>
        <w:widowControl/>
        <w:suppressLineNumbers w:val="0"/>
        <w:spacing w:line="360" w:lineRule="auto"/>
        <w:ind w:left="0" w:firstLine="435"/>
        <w:rPr>
          <w:color w:val="auto"/>
          <w:highlight w:val="none"/>
        </w:rPr>
      </w:pPr>
      <w:r>
        <w:rPr>
          <w:rStyle w:val="22"/>
          <w:rFonts w:hint="eastAsia" w:ascii="宋体" w:hAnsi="宋体" w:eastAsia="宋体" w:cs="宋体"/>
          <w:color w:val="auto"/>
          <w:sz w:val="21"/>
          <w:szCs w:val="21"/>
          <w:highlight w:val="none"/>
        </w:rPr>
        <w:t>3.在以合同分包形式落实中小企业预留份额项目中，投标人除了要提供《中小企业声明函》，还需提供本协议。 </w:t>
      </w:r>
    </w:p>
    <w:p>
      <w:pPr>
        <w:pStyle w:val="16"/>
        <w:keepNext w:val="0"/>
        <w:keepLines w:val="0"/>
        <w:widowControl/>
        <w:suppressLineNumbers w:val="0"/>
        <w:jc w:val="center"/>
        <w:rPr>
          <w:rStyle w:val="22"/>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二-12其他资格证明文件（若有）</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二</w:t>
      </w:r>
      <w:r>
        <w:rPr>
          <w:rStyle w:val="22"/>
          <w:rFonts w:hint="eastAsia" w:ascii="宋体" w:hAnsi="宋体" w:eastAsia="宋体" w:cs="宋体"/>
          <w:color w:val="auto"/>
          <w:sz w:val="21"/>
          <w:szCs w:val="21"/>
          <w:highlight w:val="none"/>
        </w:rPr>
        <w:t>-12-①具备履行合同所必需设备和专业技术能力专项证明材料（若有）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（采购人或采购代理机构）  </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现附上我方具备履行合同所必需的设备和专业技术能力的专项证明材料复印件（具体附后），上述证明材料真实有效，否则我方负全部责任。</w:t>
      </w:r>
    </w:p>
    <w:p>
      <w:pPr>
        <w:pStyle w:val="16"/>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1、招标文件要求投标人提供“具备履行合同所必需的设备和专业技术能力专项证明材料”的，投标人应按照招标文件规定在此项下提供相应证明材料复印件。</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2、投标人提供的相应证明材料复印件均应符合：内容完整、清晰、整洁，并由投标人加盖其单位公章。</w:t>
      </w:r>
    </w:p>
    <w:p>
      <w:pPr>
        <w:pStyle w:val="16"/>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pStyle w:val="16"/>
        <w:keepNext w:val="0"/>
        <w:keepLines w:val="0"/>
        <w:widowControl/>
        <w:suppressLineNumbers w:val="0"/>
        <w:rPr>
          <w:color w:val="auto"/>
          <w:highlight w:val="none"/>
        </w:rPr>
      </w:pPr>
      <w:r>
        <w:rPr>
          <w:rFonts w:hint="default" w:ascii="Calibri" w:hAnsi="Calibri" w:cs="Calibri"/>
          <w:color w:val="auto"/>
          <w:sz w:val="21"/>
          <w:szCs w:val="21"/>
          <w:highlight w:val="none"/>
        </w:rPr>
        <w:t>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jc w:val="center"/>
        <w:rPr>
          <w:rStyle w:val="22"/>
          <w:rFonts w:hint="eastAsia" w:ascii="宋体" w:hAnsi="宋体" w:eastAsia="宋体" w:cs="宋体"/>
          <w:color w:val="auto"/>
          <w:sz w:val="21"/>
          <w:szCs w:val="21"/>
          <w:highlight w:val="none"/>
        </w:rPr>
      </w:pPr>
    </w:p>
    <w:p>
      <w:pPr>
        <w:pStyle w:val="16"/>
        <w:keepNext w:val="0"/>
        <w:keepLines w:val="0"/>
        <w:widowControl/>
        <w:suppressLineNumbers w:val="0"/>
        <w:jc w:val="center"/>
        <w:rPr>
          <w:color w:val="auto"/>
          <w:sz w:val="24"/>
          <w:szCs w:val="24"/>
          <w:highlight w:val="none"/>
        </w:rPr>
      </w:pPr>
      <w:r>
        <w:rPr>
          <w:rStyle w:val="22"/>
          <w:rFonts w:hint="eastAsia" w:ascii="宋体" w:hAnsi="宋体" w:eastAsia="宋体" w:cs="宋体"/>
          <w:color w:val="auto"/>
          <w:sz w:val="24"/>
          <w:szCs w:val="24"/>
          <w:highlight w:val="none"/>
        </w:rPr>
        <w:t>二-12-②招标文件规定的其他资格证明文件（若有）</w:t>
      </w:r>
    </w:p>
    <w:p>
      <w:pPr>
        <w:pStyle w:val="16"/>
        <w:keepNext w:val="0"/>
        <w:keepLines w:val="0"/>
        <w:widowControl/>
        <w:suppressLineNumbers w:val="0"/>
        <w:rPr>
          <w:color w:val="auto"/>
          <w:sz w:val="24"/>
          <w:szCs w:val="24"/>
          <w:highlight w:val="none"/>
        </w:rPr>
      </w:pPr>
      <w:r>
        <w:rPr>
          <w:rStyle w:val="22"/>
          <w:rFonts w:hint="eastAsia" w:ascii="宋体" w:hAnsi="宋体" w:eastAsia="宋体" w:cs="宋体"/>
          <w:color w:val="auto"/>
          <w:sz w:val="24"/>
          <w:szCs w:val="24"/>
          <w:highlight w:val="none"/>
        </w:rPr>
        <w:t> </w:t>
      </w:r>
    </w:p>
    <w:p>
      <w:pPr>
        <w:pStyle w:val="16"/>
        <w:keepNext w:val="0"/>
        <w:keepLines w:val="0"/>
        <w:widowControl/>
        <w:suppressLineNumbers w:val="0"/>
        <w:rPr>
          <w:color w:val="auto"/>
          <w:sz w:val="24"/>
          <w:szCs w:val="24"/>
          <w:highlight w:val="none"/>
        </w:rPr>
      </w:pPr>
      <w:r>
        <w:rPr>
          <w:rStyle w:val="22"/>
          <w:rFonts w:hint="eastAsia" w:ascii="宋体" w:hAnsi="宋体" w:eastAsia="宋体" w:cs="宋体"/>
          <w:color w:val="auto"/>
          <w:sz w:val="24"/>
          <w:szCs w:val="24"/>
          <w:highlight w:val="none"/>
        </w:rPr>
        <w:t> </w:t>
      </w:r>
    </w:p>
    <w:p>
      <w:pPr>
        <w:pStyle w:val="16"/>
        <w:keepNext w:val="0"/>
        <w:keepLines w:val="0"/>
        <w:widowControl/>
        <w:suppressLineNumbers w:val="0"/>
        <w:jc w:val="center"/>
        <w:rPr>
          <w:color w:val="auto"/>
          <w:sz w:val="24"/>
          <w:szCs w:val="24"/>
          <w:highlight w:val="none"/>
        </w:rPr>
      </w:pPr>
      <w:r>
        <w:rPr>
          <w:rFonts w:hint="eastAsia" w:ascii="宋体" w:hAnsi="宋体" w:eastAsia="宋体" w:cs="宋体"/>
          <w:color w:val="auto"/>
          <w:sz w:val="24"/>
          <w:szCs w:val="24"/>
          <w:highlight w:val="none"/>
        </w:rPr>
        <w:t>编制说明</w:t>
      </w:r>
    </w:p>
    <w:p>
      <w:pPr>
        <w:pStyle w:val="16"/>
        <w:keepNext w:val="0"/>
        <w:keepLines w:val="0"/>
        <w:widowControl/>
        <w:suppressLineNumbers w:val="0"/>
        <w:jc w:val="center"/>
        <w:rPr>
          <w:color w:val="auto"/>
          <w:sz w:val="24"/>
          <w:szCs w:val="24"/>
          <w:highlight w:val="none"/>
        </w:rPr>
      </w:pPr>
      <w:r>
        <w:rPr>
          <w:rFonts w:hint="eastAsia" w:ascii="宋体" w:hAnsi="宋体" w:eastAsia="宋体" w:cs="宋体"/>
          <w:color w:val="auto"/>
          <w:sz w:val="24"/>
          <w:szCs w:val="24"/>
          <w:highlight w:val="none"/>
        </w:rPr>
        <w:t> </w:t>
      </w:r>
    </w:p>
    <w:p>
      <w:pPr>
        <w:pStyle w:val="16"/>
        <w:keepNext w:val="0"/>
        <w:keepLines w:val="0"/>
        <w:widowControl/>
        <w:suppressLineNumbers w:val="0"/>
        <w:ind w:left="0" w:firstLine="420"/>
        <w:rPr>
          <w:color w:val="auto"/>
          <w:sz w:val="24"/>
          <w:szCs w:val="24"/>
          <w:highlight w:val="none"/>
        </w:rPr>
      </w:pPr>
      <w:r>
        <w:rPr>
          <w:rFonts w:hint="eastAsia" w:ascii="宋体" w:hAnsi="宋体" w:eastAsia="宋体" w:cs="宋体"/>
          <w:color w:val="auto"/>
          <w:sz w:val="24"/>
          <w:szCs w:val="24"/>
          <w:highlight w:val="none"/>
        </w:rPr>
        <w:t>除招标文件另有规定外，招标文件要求提交的除前述资格证明文件外的其他资格证明文件（若有）加盖投标人的单位公章后应在此项下提交。</w:t>
      </w:r>
    </w:p>
    <w:p>
      <w:pPr>
        <w:pStyle w:val="16"/>
        <w:keepNext w:val="0"/>
        <w:keepLines w:val="0"/>
        <w:widowControl/>
        <w:suppressLineNumbers w:val="0"/>
        <w:rPr>
          <w:color w:val="auto"/>
          <w:highlight w:val="none"/>
        </w:rPr>
      </w:pPr>
      <w:r>
        <w:rPr>
          <w:rStyle w:val="22"/>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Style w:val="22"/>
          <w:rFonts w:hint="eastAsia" w:ascii="宋体" w:hAnsi="宋体" w:eastAsia="宋体" w:cs="宋体"/>
          <w:color w:val="auto"/>
          <w:sz w:val="21"/>
          <w:szCs w:val="21"/>
          <w:highlight w:val="none"/>
        </w:rPr>
        <w:t> </w:t>
      </w: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ind w:firstLine="482" w:firstLineChars="200"/>
        <w:jc w:val="left"/>
        <w:rPr>
          <w:rFonts w:hint="eastAsia" w:ascii="宋体" w:hAnsi="宋体" w:eastAsia="宋体" w:cs="宋体"/>
          <w:b/>
          <w:bCs/>
          <w:color w:val="auto"/>
          <w:sz w:val="21"/>
          <w:szCs w:val="21"/>
          <w:highlight w:val="none"/>
          <w:lang w:eastAsia="zh-CN"/>
        </w:rPr>
      </w:pPr>
      <w:r>
        <w:rPr>
          <w:rFonts w:hint="eastAsia" w:ascii="宋体" w:hAnsi="宋体" w:cs="宋体"/>
          <w:b/>
          <w:bCs/>
          <w:color w:val="auto"/>
          <w:spacing w:val="0"/>
          <w:sz w:val="24"/>
          <w:szCs w:val="24"/>
          <w:highlight w:val="none"/>
          <w:lang w:val="en-US" w:eastAsia="zh-CN"/>
        </w:rPr>
        <w:t>提供</w:t>
      </w:r>
      <w:r>
        <w:rPr>
          <w:rFonts w:hint="eastAsia" w:ascii="宋体" w:hAnsi="宋体" w:eastAsia="宋体" w:cs="宋体"/>
          <w:b/>
          <w:bCs/>
          <w:color w:val="auto"/>
          <w:spacing w:val="0"/>
          <w:sz w:val="24"/>
          <w:szCs w:val="24"/>
          <w:highlight w:val="none"/>
          <w:lang w:val="en-US" w:eastAsia="zh-CN"/>
        </w:rPr>
        <w:t>公安部门颁发的</w:t>
      </w:r>
      <w:r>
        <w:rPr>
          <w:rFonts w:hint="eastAsia" w:ascii="宋体" w:hAnsi="宋体" w:cs="宋体"/>
          <w:b/>
          <w:bCs/>
          <w:color w:val="auto"/>
          <w:spacing w:val="0"/>
          <w:sz w:val="24"/>
          <w:szCs w:val="24"/>
          <w:highlight w:val="none"/>
          <w:lang w:val="en-US" w:eastAsia="zh-CN"/>
        </w:rPr>
        <w:t>有效的</w:t>
      </w:r>
      <w:r>
        <w:rPr>
          <w:rFonts w:hint="eastAsia" w:ascii="宋体" w:hAnsi="宋体" w:eastAsia="宋体" w:cs="宋体"/>
          <w:b/>
          <w:bCs/>
          <w:color w:val="auto"/>
          <w:spacing w:val="0"/>
          <w:sz w:val="24"/>
          <w:szCs w:val="24"/>
          <w:highlight w:val="none"/>
          <w:lang w:val="en-US" w:eastAsia="zh-CN"/>
        </w:rPr>
        <w:t>《保安服务许可证》</w:t>
      </w:r>
      <w:r>
        <w:rPr>
          <w:rFonts w:hint="eastAsia" w:ascii="宋体" w:hAnsi="宋体" w:cs="宋体"/>
          <w:b/>
          <w:bCs/>
          <w:color w:val="auto"/>
          <w:spacing w:val="0"/>
          <w:sz w:val="24"/>
          <w:szCs w:val="24"/>
          <w:highlight w:val="none"/>
          <w:lang w:val="en-US" w:eastAsia="zh-CN"/>
        </w:rPr>
        <w:t>复印件加盖公章</w:t>
      </w:r>
      <w:r>
        <w:rPr>
          <w:rFonts w:hint="eastAsia" w:ascii="宋体" w:hAnsi="宋体" w:eastAsia="宋体" w:cs="宋体"/>
          <w:b/>
          <w:bCs/>
          <w:color w:val="auto"/>
          <w:spacing w:val="0"/>
          <w:sz w:val="24"/>
          <w:szCs w:val="24"/>
          <w:highlight w:val="none"/>
          <w:lang w:val="en-US" w:eastAsia="zh-CN"/>
        </w:rPr>
        <w:t>。</w:t>
      </w: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三</w:t>
      </w:r>
      <w:r>
        <w:rPr>
          <w:rStyle w:val="22"/>
          <w:rFonts w:hint="eastAsia" w:ascii="宋体" w:hAnsi="宋体" w:eastAsia="宋体" w:cs="宋体"/>
          <w:color w:val="auto"/>
          <w:sz w:val="21"/>
          <w:szCs w:val="21"/>
          <w:highlight w:val="none"/>
        </w:rPr>
        <w:t>、投标保证金</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编制说明</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1、在此项下提交的</w:t>
      </w:r>
      <w:r>
        <w:rPr>
          <w:rStyle w:val="22"/>
          <w:rFonts w:hint="eastAsia" w:ascii="宋体" w:hAnsi="宋体" w:eastAsia="宋体" w:cs="宋体"/>
          <w:color w:val="auto"/>
          <w:sz w:val="21"/>
          <w:szCs w:val="21"/>
          <w:highlight w:val="none"/>
        </w:rPr>
        <w:t>“投标保证金”</w:t>
      </w:r>
      <w:r>
        <w:rPr>
          <w:rFonts w:hint="eastAsia" w:ascii="宋体" w:hAnsi="宋体" w:eastAsia="宋体" w:cs="宋体"/>
          <w:color w:val="auto"/>
          <w:sz w:val="21"/>
          <w:szCs w:val="21"/>
          <w:highlight w:val="none"/>
        </w:rPr>
        <w:t>材料可使用</w:t>
      </w:r>
      <w:r>
        <w:rPr>
          <w:rFonts w:hint="eastAsia" w:ascii="宋体" w:hAnsi="宋体" w:cs="宋体"/>
          <w:color w:val="auto"/>
          <w:sz w:val="21"/>
          <w:szCs w:val="21"/>
          <w:highlight w:val="none"/>
          <w:lang w:eastAsia="zh-CN"/>
        </w:rPr>
        <w:t>汇款成功的汇款凭证</w:t>
      </w:r>
      <w:r>
        <w:rPr>
          <w:rFonts w:hint="eastAsia" w:ascii="宋体" w:hAnsi="宋体" w:eastAsia="宋体" w:cs="宋体"/>
          <w:color w:val="auto"/>
          <w:sz w:val="21"/>
          <w:szCs w:val="21"/>
          <w:highlight w:val="none"/>
        </w:rPr>
        <w:t>。</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2、投标保证金是否已提交的认定按照招标文件第三章规定执行。</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8"/>
          <w:szCs w:val="28"/>
          <w:highlight w:val="none"/>
        </w:rPr>
        <w:t>封面格式</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48"/>
          <w:szCs w:val="48"/>
          <w:highlight w:val="none"/>
        </w:rPr>
        <w:t>政府采购投标文件</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48"/>
          <w:szCs w:val="48"/>
          <w:highlight w:val="none"/>
        </w:rPr>
        <w:t>（报价部分）</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36"/>
          <w:szCs w:val="36"/>
          <w:highlight w:val="none"/>
          <w:u w:val="single"/>
        </w:rPr>
        <w:t>（填写正本或副本）</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ind w:left="0" w:firstLine="1920"/>
        <w:rPr>
          <w:color w:val="auto"/>
          <w:highlight w:val="none"/>
        </w:rPr>
      </w:pPr>
      <w:r>
        <w:rPr>
          <w:rStyle w:val="22"/>
          <w:rFonts w:hint="eastAsia" w:ascii="宋体" w:hAnsi="宋体" w:eastAsia="宋体" w:cs="宋体"/>
          <w:color w:val="auto"/>
          <w:sz w:val="31"/>
          <w:szCs w:val="31"/>
          <w:highlight w:val="none"/>
        </w:rPr>
        <w:t>项目名称：</w:t>
      </w:r>
      <w:r>
        <w:rPr>
          <w:rStyle w:val="22"/>
          <w:rFonts w:hint="eastAsia" w:ascii="宋体" w:hAnsi="宋体" w:eastAsia="宋体" w:cs="宋体"/>
          <w:color w:val="auto"/>
          <w:sz w:val="31"/>
          <w:szCs w:val="31"/>
          <w:highlight w:val="none"/>
          <w:u w:val="single"/>
        </w:rPr>
        <w:t>（由投标人填写）</w:t>
      </w:r>
    </w:p>
    <w:p>
      <w:pPr>
        <w:pStyle w:val="16"/>
        <w:keepNext w:val="0"/>
        <w:keepLines w:val="0"/>
        <w:widowControl/>
        <w:suppressLineNumbers w:val="0"/>
        <w:ind w:left="0" w:firstLine="1920"/>
        <w:rPr>
          <w:color w:val="auto"/>
          <w:highlight w:val="none"/>
        </w:rPr>
      </w:pPr>
      <w:r>
        <w:rPr>
          <w:rStyle w:val="22"/>
          <w:rFonts w:hint="eastAsia" w:ascii="宋体" w:hAnsi="宋体" w:eastAsia="宋体" w:cs="宋体"/>
          <w:color w:val="auto"/>
          <w:sz w:val="31"/>
          <w:szCs w:val="31"/>
          <w:highlight w:val="none"/>
        </w:rPr>
        <w:t>项目编号：</w:t>
      </w:r>
      <w:r>
        <w:rPr>
          <w:rStyle w:val="22"/>
          <w:rFonts w:hint="eastAsia" w:ascii="宋体" w:hAnsi="宋体" w:eastAsia="宋体" w:cs="宋体"/>
          <w:color w:val="auto"/>
          <w:sz w:val="31"/>
          <w:szCs w:val="31"/>
          <w:highlight w:val="none"/>
          <w:u w:val="single"/>
        </w:rPr>
        <w:t>（由投标人填写）</w:t>
      </w:r>
    </w:p>
    <w:p>
      <w:pPr>
        <w:pStyle w:val="16"/>
        <w:keepNext w:val="0"/>
        <w:keepLines w:val="0"/>
        <w:widowControl/>
        <w:suppressLineNumbers w:val="0"/>
        <w:ind w:left="0" w:firstLine="1920"/>
        <w:rPr>
          <w:color w:val="auto"/>
          <w:highlight w:val="none"/>
        </w:rPr>
      </w:pPr>
      <w:r>
        <w:rPr>
          <w:rStyle w:val="22"/>
          <w:rFonts w:hint="eastAsia" w:ascii="宋体" w:hAnsi="宋体" w:eastAsia="宋体" w:cs="宋体"/>
          <w:color w:val="auto"/>
          <w:sz w:val="31"/>
          <w:szCs w:val="31"/>
          <w:highlight w:val="none"/>
        </w:rPr>
        <w:t>所投采购包：</w:t>
      </w:r>
      <w:r>
        <w:rPr>
          <w:rStyle w:val="22"/>
          <w:rFonts w:hint="eastAsia" w:ascii="宋体" w:hAnsi="宋体" w:eastAsia="宋体" w:cs="宋体"/>
          <w:color w:val="auto"/>
          <w:sz w:val="31"/>
          <w:szCs w:val="31"/>
          <w:highlight w:val="none"/>
          <w:u w:val="single"/>
        </w:rPr>
        <w:t>（由投标人填写）</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31"/>
          <w:szCs w:val="31"/>
          <w:highlight w:val="none"/>
        </w:rPr>
        <w:t>投标人：</w:t>
      </w:r>
      <w:r>
        <w:rPr>
          <w:rStyle w:val="22"/>
          <w:rFonts w:hint="eastAsia" w:ascii="宋体" w:hAnsi="宋体" w:eastAsia="宋体" w:cs="宋体"/>
          <w:color w:val="auto"/>
          <w:sz w:val="31"/>
          <w:szCs w:val="31"/>
          <w:highlight w:val="none"/>
          <w:u w:val="single"/>
        </w:rPr>
        <w:t>（填写“全称”）</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31"/>
          <w:szCs w:val="31"/>
          <w:highlight w:val="none"/>
          <w:u w:val="single"/>
        </w:rPr>
        <w:t>（由投标人填写）</w:t>
      </w:r>
      <w:r>
        <w:rPr>
          <w:rStyle w:val="22"/>
          <w:rFonts w:hint="eastAsia" w:ascii="宋体" w:hAnsi="宋体" w:eastAsia="宋体" w:cs="宋体"/>
          <w:color w:val="auto"/>
          <w:sz w:val="31"/>
          <w:szCs w:val="31"/>
          <w:highlight w:val="none"/>
        </w:rPr>
        <w:t>年</w:t>
      </w:r>
      <w:r>
        <w:rPr>
          <w:rStyle w:val="22"/>
          <w:rFonts w:hint="eastAsia" w:ascii="宋体" w:hAnsi="宋体" w:eastAsia="宋体" w:cs="宋体"/>
          <w:color w:val="auto"/>
          <w:sz w:val="31"/>
          <w:szCs w:val="31"/>
          <w:highlight w:val="none"/>
          <w:u w:val="single"/>
        </w:rPr>
        <w:t>（由投标人填写）</w:t>
      </w:r>
      <w:r>
        <w:rPr>
          <w:rStyle w:val="22"/>
          <w:rFonts w:hint="eastAsia" w:ascii="宋体" w:hAnsi="宋体" w:eastAsia="宋体" w:cs="宋体"/>
          <w:color w:val="auto"/>
          <w:sz w:val="31"/>
          <w:szCs w:val="31"/>
          <w:highlight w:val="none"/>
        </w:rPr>
        <w:t>月</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rStyle w:val="22"/>
          <w:rFonts w:hint="eastAsia" w:ascii="宋体" w:hAnsi="宋体" w:eastAsia="宋体" w:cs="宋体"/>
          <w:color w:val="auto"/>
          <w:sz w:val="28"/>
          <w:szCs w:val="28"/>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8"/>
          <w:szCs w:val="28"/>
          <w:highlight w:val="none"/>
        </w:rPr>
        <w:t>索引</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一、开标一览表</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二、投标分项报价表</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三、招标文件规定的价格扣除证明材料（若有）</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四、招标文件规定的加分证明材料（若有）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Style w:val="22"/>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一、开标一览表</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w:t>
      </w:r>
    </w:p>
    <w:p>
      <w:pPr>
        <w:pStyle w:val="16"/>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货币及单位：人民币元</w:t>
      </w:r>
    </w:p>
    <w:tbl>
      <w:tblPr>
        <w:tblStyle w:val="19"/>
        <w:tblW w:w="9519"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11"/>
        <w:gridCol w:w="5418"/>
        <w:gridCol w:w="1004"/>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66"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采购包</w:t>
            </w:r>
          </w:p>
        </w:tc>
        <w:tc>
          <w:tcPr>
            <w:tcW w:w="5388"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投标报价</w:t>
            </w:r>
          </w:p>
        </w:tc>
        <w:tc>
          <w:tcPr>
            <w:tcW w:w="97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保证金</w:t>
            </w:r>
          </w:p>
        </w:tc>
        <w:tc>
          <w:tcPr>
            <w:tcW w:w="2041"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800" w:hRule="atLeast"/>
          <w:tblCellSpacing w:w="15" w:type="dxa"/>
        </w:trPr>
        <w:tc>
          <w:tcPr>
            <w:tcW w:w="966"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5388" w:type="dxa"/>
            <w:shd w:val="clear" w:color="auto" w:fill="auto"/>
            <w:tcMar>
              <w:top w:w="0" w:type="dxa"/>
              <w:left w:w="105" w:type="dxa"/>
              <w:bottom w:w="0" w:type="dxa"/>
              <w:right w:w="105" w:type="dxa"/>
            </w:tcMar>
            <w:vAlign w:val="center"/>
          </w:tcPr>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tc>
        <w:tc>
          <w:tcPr>
            <w:tcW w:w="97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2041" w:type="dxa"/>
            <w:vMerge w:val="restart"/>
            <w:shd w:val="clear" w:color="auto" w:fill="auto"/>
            <w:tcMar>
              <w:top w:w="0" w:type="dxa"/>
              <w:left w:w="105" w:type="dxa"/>
              <w:bottom w:w="0" w:type="dxa"/>
              <w:right w:w="105" w:type="dxa"/>
            </w:tcMar>
            <w:vAlign w:val="center"/>
          </w:tcPr>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a.投标报价的明细：详见《投标分项报价表》。</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66"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5388" w:type="dxa"/>
            <w:shd w:val="clear" w:color="auto" w:fill="auto"/>
            <w:tcMar>
              <w:top w:w="0" w:type="dxa"/>
              <w:left w:w="105" w:type="dxa"/>
              <w:bottom w:w="0" w:type="dxa"/>
              <w:right w:w="105" w:type="dxa"/>
            </w:tcMar>
            <w:vAlign w:val="center"/>
          </w:tcPr>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投标总价（大写金额）：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tc>
        <w:tc>
          <w:tcPr>
            <w:tcW w:w="97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2041" w:type="dxa"/>
            <w:vMerge w:val="continue"/>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r>
    </w:tbl>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1、本表应按照下列规定填写：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1.1投标人应按照本表格式填写所投的采购包的“投标报价”。</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1.2本表中列示的“采购包”应与《投标分项报价表》中列示的“采购包”保持一致，即：若本表中列示的“采购包”为“</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”时，《投标分项报价表》中列示的“采购包”亦应为“</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”，以此类推。</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1.3“大写金额”指“投标报价”应用“壹、贰、叁、肆、伍、陆、柒、捌、玖、拾、佰、仟、万、亿、元、角、分、零”等进行填写。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rStyle w:val="22"/>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二、投标分项报价表</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w:t>
      </w:r>
    </w:p>
    <w:p>
      <w:pPr>
        <w:pStyle w:val="16"/>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货币及单位：人民币元</w:t>
      </w:r>
    </w:p>
    <w:tbl>
      <w:tblPr>
        <w:tblStyle w:val="19"/>
        <w:tblW w:w="8888"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53"/>
        <w:gridCol w:w="956"/>
        <w:gridCol w:w="1498"/>
        <w:gridCol w:w="784"/>
        <w:gridCol w:w="1140"/>
        <w:gridCol w:w="1155"/>
        <w:gridCol w:w="589"/>
        <w:gridCol w:w="108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jc w:val="center"/>
        </w:trPr>
        <w:tc>
          <w:tcPr>
            <w:tcW w:w="808"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采购包</w:t>
            </w:r>
          </w:p>
        </w:tc>
        <w:tc>
          <w:tcPr>
            <w:tcW w:w="926"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1468"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投标标的</w:t>
            </w:r>
          </w:p>
        </w:tc>
        <w:tc>
          <w:tcPr>
            <w:tcW w:w="75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规格</w:t>
            </w:r>
          </w:p>
        </w:tc>
        <w:tc>
          <w:tcPr>
            <w:tcW w:w="1110"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来源地</w:t>
            </w:r>
          </w:p>
        </w:tc>
        <w:tc>
          <w:tcPr>
            <w:tcW w:w="112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单价</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559"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数量</w:t>
            </w:r>
          </w:p>
        </w:tc>
        <w:tc>
          <w:tcPr>
            <w:tcW w:w="1058"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总价</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780"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jc w:val="center"/>
        </w:trPr>
        <w:tc>
          <w:tcPr>
            <w:tcW w:w="808" w:type="dxa"/>
            <w:vMerge w:val="restart"/>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926"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146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75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10"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25"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559"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05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780"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808" w:type="dxa"/>
            <w:vMerge w:val="continue"/>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926"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46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75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10"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25"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559"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05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780"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808"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926"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46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75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10"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25"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559"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05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780"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bl>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1、本表应按照下列规定填写：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”时，本表中列示的“采购包”亦应为“</w:t>
      </w:r>
      <w:r>
        <w:rPr>
          <w:rFonts w:hint="default" w:ascii="Calibri" w:hAnsi="Calibri" w:eastAsia="宋体" w:cs="Calibri"/>
          <w:color w:val="auto"/>
          <w:sz w:val="21"/>
          <w:szCs w:val="21"/>
          <w:highlight w:val="none"/>
        </w:rPr>
        <w:t>1</w:t>
      </w:r>
      <w:r>
        <w:rPr>
          <w:rFonts w:hint="eastAsia" w:ascii="宋体" w:hAnsi="宋体" w:eastAsia="宋体" w:cs="宋体"/>
          <w:color w:val="auto"/>
          <w:sz w:val="21"/>
          <w:szCs w:val="21"/>
          <w:highlight w:val="none"/>
        </w:rPr>
        <w:t>”，以此类推。</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1.2“投标标的”为货物的：</w:t>
      </w:r>
      <w:r>
        <w:rPr>
          <w:rStyle w:val="22"/>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22"/>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应填写货物的原产地。</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1.3“投标标的”为服务的：</w:t>
      </w:r>
      <w:r>
        <w:rPr>
          <w:rStyle w:val="22"/>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22"/>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应填写服务提供者的所在地。</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1.4同一采购包中，</w:t>
      </w:r>
      <w:r>
        <w:rPr>
          <w:rStyle w:val="22"/>
          <w:rFonts w:hint="eastAsia" w:ascii="宋体" w:hAnsi="宋体" w:eastAsia="宋体" w:cs="宋体"/>
          <w:color w:val="auto"/>
          <w:sz w:val="21"/>
          <w:szCs w:val="21"/>
          <w:highlight w:val="none"/>
        </w:rPr>
        <w:t>“单价（现场）”</w:t>
      </w:r>
      <w:r>
        <w:rPr>
          <w:rFonts w:hint="eastAsia" w:ascii="宋体" w:hAnsi="宋体" w:eastAsia="宋体" w:cs="宋体"/>
          <w:color w:val="auto"/>
          <w:sz w:val="21"/>
          <w:szCs w:val="21"/>
          <w:highlight w:val="none"/>
        </w:rPr>
        <w:t>×</w:t>
      </w:r>
      <w:r>
        <w:rPr>
          <w:rStyle w:val="22"/>
          <w:rFonts w:hint="eastAsia" w:ascii="宋体" w:hAnsi="宋体" w:eastAsia="宋体" w:cs="宋体"/>
          <w:color w:val="auto"/>
          <w:sz w:val="21"/>
          <w:szCs w:val="21"/>
          <w:highlight w:val="none"/>
        </w:rPr>
        <w:t>“数量”</w:t>
      </w:r>
      <w:r>
        <w:rPr>
          <w:rFonts w:hint="eastAsia" w:ascii="宋体" w:hAnsi="宋体" w:eastAsia="宋体" w:cs="宋体"/>
          <w:color w:val="auto"/>
          <w:sz w:val="21"/>
          <w:szCs w:val="21"/>
          <w:highlight w:val="none"/>
        </w:rPr>
        <w:t>=</w:t>
      </w:r>
      <w:r>
        <w:rPr>
          <w:rStyle w:val="22"/>
          <w:rFonts w:hint="eastAsia" w:ascii="宋体" w:hAnsi="宋体" w:eastAsia="宋体" w:cs="宋体"/>
          <w:color w:val="auto"/>
          <w:sz w:val="21"/>
          <w:szCs w:val="21"/>
          <w:highlight w:val="none"/>
        </w:rPr>
        <w:t>“总价（现场）”</w:t>
      </w:r>
      <w:r>
        <w:rPr>
          <w:rFonts w:hint="eastAsia" w:ascii="宋体" w:hAnsi="宋体" w:eastAsia="宋体" w:cs="宋体"/>
          <w:color w:val="auto"/>
          <w:sz w:val="21"/>
          <w:szCs w:val="21"/>
          <w:highlight w:val="none"/>
        </w:rPr>
        <w:t>，全部品目号</w:t>
      </w:r>
      <w:r>
        <w:rPr>
          <w:rStyle w:val="22"/>
          <w:rFonts w:hint="eastAsia" w:ascii="宋体" w:hAnsi="宋体" w:eastAsia="宋体" w:cs="宋体"/>
          <w:color w:val="auto"/>
          <w:sz w:val="21"/>
          <w:szCs w:val="21"/>
          <w:highlight w:val="none"/>
        </w:rPr>
        <w:t>“总价（现场）”</w:t>
      </w:r>
      <w:r>
        <w:rPr>
          <w:rFonts w:hint="eastAsia" w:ascii="宋体" w:hAnsi="宋体" w:eastAsia="宋体" w:cs="宋体"/>
          <w:color w:val="auto"/>
          <w:sz w:val="21"/>
          <w:szCs w:val="21"/>
          <w:highlight w:val="none"/>
        </w:rPr>
        <w:t>的合计金额应与《开标一览表》中相应采购包列示的</w:t>
      </w:r>
      <w:r>
        <w:rPr>
          <w:rStyle w:val="22"/>
          <w:rFonts w:hint="eastAsia" w:ascii="宋体" w:hAnsi="宋体" w:eastAsia="宋体" w:cs="宋体"/>
          <w:color w:val="auto"/>
          <w:sz w:val="21"/>
          <w:szCs w:val="21"/>
          <w:highlight w:val="none"/>
        </w:rPr>
        <w:t>“投标总价”</w:t>
      </w:r>
      <w:r>
        <w:rPr>
          <w:rFonts w:hint="eastAsia" w:ascii="宋体" w:hAnsi="宋体" w:eastAsia="宋体" w:cs="宋体"/>
          <w:color w:val="auto"/>
          <w:sz w:val="21"/>
          <w:szCs w:val="21"/>
          <w:highlight w:val="none"/>
        </w:rPr>
        <w:t>保持一致。</w:t>
      </w:r>
    </w:p>
    <w:p>
      <w:pPr>
        <w:pStyle w:val="16"/>
        <w:keepNext w:val="0"/>
        <w:keepLines w:val="0"/>
        <w:widowControl/>
        <w:suppressLineNumbers w:val="0"/>
        <w:rPr>
          <w:rFonts w:hint="eastAsia" w:ascii="宋体" w:hAnsi="宋体" w:eastAsia="宋体" w:cs="宋体"/>
          <w:bCs/>
          <w:color w:val="auto"/>
          <w:sz w:val="24"/>
          <w:szCs w:val="24"/>
          <w:highlight w:val="none"/>
        </w:rPr>
      </w:pPr>
      <w:r>
        <w:rPr>
          <w:rFonts w:hint="eastAsia" w:ascii="宋体" w:hAnsi="宋体" w:eastAsia="宋体" w:cs="宋体"/>
          <w:color w:val="auto"/>
          <w:sz w:val="21"/>
          <w:szCs w:val="21"/>
          <w:highlight w:val="none"/>
        </w:rPr>
        <w:t>1.5若招标文件要求投标人对“备品备件价格、专用工具价格、技术服务费、安装调试费、检验培训费、运输费、保险费、税收”等进行报价的，请在本表的</w:t>
      </w:r>
      <w:r>
        <w:rPr>
          <w:rStyle w:val="22"/>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项下填写。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三、招标文件规定的价格扣除证明材料（若有）</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三-1优先类节能产品、环境标志产品价格扣除证明材料（若有）</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 三-1-①优先类节能产品、环境标志产品统计表（价格扣除适用，若有）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w:t>
      </w:r>
    </w:p>
    <w:p>
      <w:pPr>
        <w:pStyle w:val="16"/>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货币及单位：人民币元</w:t>
      </w:r>
    </w:p>
    <w:tbl>
      <w:tblPr>
        <w:tblStyle w:val="1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20"/>
        <w:gridCol w:w="1215"/>
        <w:gridCol w:w="1209"/>
        <w:gridCol w:w="1221"/>
        <w:gridCol w:w="1209"/>
        <w:gridCol w:w="122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7255" w:type="dxa"/>
            <w:gridSpan w:val="6"/>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本采购包内属于节能、环境标志产品的情况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shd w:val="clear" w:color="auto" w:fill="auto"/>
            <w:tcMar>
              <w:top w:w="0" w:type="dxa"/>
              <w:left w:w="105" w:type="dxa"/>
              <w:bottom w:w="0" w:type="dxa"/>
              <w:right w:w="105" w:type="dxa"/>
            </w:tcMar>
            <w:vAlign w:val="center"/>
          </w:tcPr>
          <w:p>
            <w:pPr>
              <w:jc w:val="center"/>
              <w:rPr>
                <w:color w:val="auto"/>
                <w:highlight w:val="none"/>
              </w:rPr>
            </w:pPr>
            <w:r>
              <w:rPr>
                <w:rFonts w:hint="eastAsia"/>
                <w:color w:val="auto"/>
                <w:highlight w:val="none"/>
              </w:rPr>
              <w:t>采购包</w:t>
            </w:r>
          </w:p>
        </w:tc>
        <w:tc>
          <w:tcPr>
            <w:tcW w:w="1185" w:type="dxa"/>
            <w:shd w:val="clear" w:color="auto" w:fill="auto"/>
            <w:tcMar>
              <w:top w:w="0" w:type="dxa"/>
              <w:left w:w="105" w:type="dxa"/>
              <w:bottom w:w="0" w:type="dxa"/>
              <w:right w:w="105" w:type="dxa"/>
            </w:tcMar>
            <w:vAlign w:val="center"/>
          </w:tcPr>
          <w:p>
            <w:pPr>
              <w:jc w:val="center"/>
              <w:rPr>
                <w:color w:val="auto"/>
                <w:highlight w:val="none"/>
              </w:rPr>
            </w:pPr>
            <w:r>
              <w:rPr>
                <w:rFonts w:hint="eastAsia"/>
                <w:color w:val="auto"/>
                <w:highlight w:val="none"/>
              </w:rPr>
              <w:t>品目号</w:t>
            </w:r>
          </w:p>
        </w:tc>
        <w:tc>
          <w:tcPr>
            <w:tcW w:w="1179" w:type="dxa"/>
            <w:shd w:val="clear" w:color="auto" w:fill="auto"/>
            <w:tcMar>
              <w:top w:w="0" w:type="dxa"/>
              <w:left w:w="105" w:type="dxa"/>
              <w:bottom w:w="0" w:type="dxa"/>
              <w:right w:w="105" w:type="dxa"/>
            </w:tcMar>
            <w:vAlign w:val="center"/>
          </w:tcPr>
          <w:p>
            <w:pPr>
              <w:jc w:val="center"/>
              <w:rPr>
                <w:color w:val="auto"/>
                <w:highlight w:val="none"/>
              </w:rPr>
            </w:pPr>
            <w:r>
              <w:rPr>
                <w:rFonts w:hint="eastAsia"/>
                <w:color w:val="auto"/>
                <w:highlight w:val="none"/>
              </w:rPr>
              <w:t>货物名称</w:t>
            </w:r>
          </w:p>
        </w:tc>
        <w:tc>
          <w:tcPr>
            <w:tcW w:w="1191" w:type="dxa"/>
            <w:shd w:val="clear" w:color="auto" w:fill="auto"/>
            <w:tcMar>
              <w:top w:w="0" w:type="dxa"/>
              <w:left w:w="105" w:type="dxa"/>
              <w:bottom w:w="0" w:type="dxa"/>
              <w:right w:w="105" w:type="dxa"/>
            </w:tcMar>
            <w:vAlign w:val="center"/>
          </w:tcPr>
          <w:p>
            <w:pPr>
              <w:jc w:val="center"/>
              <w:rPr>
                <w:color w:val="auto"/>
                <w:highlight w:val="none"/>
              </w:rPr>
            </w:pPr>
            <w:r>
              <w:rPr>
                <w:rFonts w:hint="eastAsia"/>
                <w:color w:val="auto"/>
                <w:highlight w:val="none"/>
              </w:rPr>
              <w:t>单价</w:t>
            </w:r>
          </w:p>
          <w:p>
            <w:pPr>
              <w:jc w:val="center"/>
              <w:rPr>
                <w:color w:val="auto"/>
                <w:highlight w:val="none"/>
              </w:rPr>
            </w:pPr>
            <w:r>
              <w:rPr>
                <w:rFonts w:hint="eastAsia"/>
                <w:color w:val="auto"/>
                <w:highlight w:val="none"/>
              </w:rPr>
              <w:t>（现场）</w:t>
            </w:r>
          </w:p>
        </w:tc>
        <w:tc>
          <w:tcPr>
            <w:tcW w:w="1179" w:type="dxa"/>
            <w:shd w:val="clear" w:color="auto" w:fill="auto"/>
            <w:tcMar>
              <w:top w:w="0" w:type="dxa"/>
              <w:left w:w="105" w:type="dxa"/>
              <w:bottom w:w="0" w:type="dxa"/>
              <w:right w:w="105" w:type="dxa"/>
            </w:tcMar>
            <w:vAlign w:val="center"/>
          </w:tcPr>
          <w:p>
            <w:pPr>
              <w:jc w:val="center"/>
              <w:rPr>
                <w:color w:val="auto"/>
                <w:highlight w:val="none"/>
              </w:rPr>
            </w:pPr>
            <w:r>
              <w:rPr>
                <w:rFonts w:hint="eastAsia"/>
                <w:color w:val="auto"/>
                <w:highlight w:val="none"/>
              </w:rPr>
              <w:t>数量</w:t>
            </w:r>
          </w:p>
        </w:tc>
        <w:tc>
          <w:tcPr>
            <w:tcW w:w="1191" w:type="dxa"/>
            <w:shd w:val="clear" w:color="auto" w:fill="auto"/>
            <w:tcMar>
              <w:top w:w="0" w:type="dxa"/>
              <w:left w:w="105" w:type="dxa"/>
              <w:bottom w:w="0" w:type="dxa"/>
              <w:right w:w="105" w:type="dxa"/>
            </w:tcMar>
            <w:vAlign w:val="center"/>
          </w:tcPr>
          <w:p>
            <w:pPr>
              <w:jc w:val="center"/>
              <w:rPr>
                <w:color w:val="auto"/>
                <w:highlight w:val="none"/>
              </w:rPr>
            </w:pPr>
            <w:r>
              <w:rPr>
                <w:rFonts w:hint="eastAsia"/>
                <w:color w:val="auto"/>
                <w:highlight w:val="none"/>
              </w:rPr>
              <w:t>总价</w:t>
            </w:r>
          </w:p>
          <w:p>
            <w:pPr>
              <w:jc w:val="center"/>
              <w:rPr>
                <w:color w:val="auto"/>
                <w:highlight w:val="none"/>
              </w:rPr>
            </w:pPr>
            <w:r>
              <w:rPr>
                <w:rFonts w:hint="eastAsia"/>
                <w:color w:val="auto"/>
                <w:highlight w:val="none"/>
              </w:rPr>
              <w:t>（现场）</w:t>
            </w:r>
          </w:p>
        </w:tc>
        <w:tc>
          <w:tcPr>
            <w:tcW w:w="1180" w:type="dxa"/>
            <w:shd w:val="clear" w:color="auto" w:fill="auto"/>
            <w:tcMar>
              <w:top w:w="0" w:type="dxa"/>
              <w:left w:w="105" w:type="dxa"/>
              <w:bottom w:w="0" w:type="dxa"/>
              <w:right w:w="105" w:type="dxa"/>
            </w:tcMar>
            <w:vAlign w:val="center"/>
          </w:tcPr>
          <w:p>
            <w:pPr>
              <w:jc w:val="center"/>
              <w:rPr>
                <w:color w:val="auto"/>
                <w:highlight w:val="none"/>
              </w:rPr>
            </w:pPr>
            <w:r>
              <w:rPr>
                <w:rFonts w:hint="eastAsia"/>
                <w:color w:val="auto"/>
                <w:highlight w:val="none"/>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restart"/>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118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91"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91"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80"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vMerge w:val="continue"/>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118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91"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91"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80"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c>
          <w:tcPr>
            <w:tcW w:w="7255" w:type="dxa"/>
            <w:gridSpan w:val="6"/>
            <w:shd w:val="clear" w:color="auto" w:fill="auto"/>
            <w:tcMar>
              <w:top w:w="0" w:type="dxa"/>
              <w:left w:w="105" w:type="dxa"/>
              <w:bottom w:w="0" w:type="dxa"/>
              <w:right w:w="105" w:type="dxa"/>
            </w:tcMar>
            <w:vAlign w:val="top"/>
          </w:tcPr>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a.采购包内属于节能、环境标志产品的报价总金额：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b.采购包投标总价（报价总金额）：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c.“采购包内属于节能、环境标志产品的报价总金额”占“采购包投标总价（报价总金额）”的比例（以</w:t>
            </w:r>
            <w:r>
              <w:rPr>
                <w:rFonts w:hint="default" w:ascii="Calibri" w:hAnsi="Calibri" w:eastAsia="宋体" w:cs="Calibri"/>
                <w:color w:val="auto"/>
                <w:sz w:val="21"/>
                <w:szCs w:val="21"/>
                <w:highlight w:val="none"/>
              </w:rPr>
              <w:t>%</w:t>
            </w:r>
            <w:r>
              <w:rPr>
                <w:rFonts w:hint="eastAsia" w:ascii="宋体" w:hAnsi="宋体" w:eastAsia="宋体" w:cs="宋体"/>
                <w:color w:val="auto"/>
                <w:sz w:val="21"/>
                <w:szCs w:val="21"/>
                <w:highlight w:val="none"/>
              </w:rPr>
              <w:t>列示）：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tc>
      </w:tr>
    </w:tbl>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1、对节能、环境标志产品计算价格扣除时，只依据投标文件</w:t>
      </w:r>
      <w:r>
        <w:rPr>
          <w:rStyle w:val="22"/>
          <w:rFonts w:hint="eastAsia" w:ascii="宋体" w:hAnsi="宋体" w:eastAsia="宋体" w:cs="宋体"/>
          <w:color w:val="auto"/>
          <w:sz w:val="21"/>
          <w:szCs w:val="21"/>
          <w:highlight w:val="none"/>
        </w:rPr>
        <w:t>“三</w:t>
      </w:r>
      <w:r>
        <w:rPr>
          <w:rStyle w:val="22"/>
          <w:rFonts w:hint="default" w:ascii="Calibri" w:hAnsi="Calibri" w:eastAsia="宋体" w:cs="Calibri"/>
          <w:color w:val="auto"/>
          <w:sz w:val="21"/>
          <w:szCs w:val="21"/>
          <w:highlight w:val="none"/>
        </w:rPr>
        <w:t>-1-</w:t>
      </w:r>
      <w:r>
        <w:rPr>
          <w:rStyle w:val="22"/>
          <w:rFonts w:hint="eastAsia" w:ascii="宋体" w:hAnsi="宋体" w:eastAsia="宋体" w:cs="宋体"/>
          <w:color w:val="auto"/>
          <w:sz w:val="21"/>
          <w:szCs w:val="21"/>
          <w:highlight w:val="none"/>
        </w:rPr>
        <w:t>②优先类节能产品、环境标志产品证明材料（价格扣除适用，若有）”。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2、本表以采购包为单位，不同采购包请分别填写；同一采购包请按照其品目号顺序分别填写。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3、具体统计、计算：</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3.2计算结果若除不尽，可四舍五入保留到小数点后两位。</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3.3投标人应按照招标文件要求认真统计、计算，否则评标委员会不予认定。</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3.4若无节能、环境标志产品，不填写本表，否则，</w:t>
      </w:r>
      <w:r>
        <w:rPr>
          <w:rStyle w:val="22"/>
          <w:rFonts w:hint="eastAsia" w:ascii="宋体" w:hAnsi="宋体" w:eastAsia="宋体" w:cs="宋体"/>
          <w:color w:val="auto"/>
          <w:sz w:val="21"/>
          <w:szCs w:val="21"/>
          <w:highlight w:val="none"/>
        </w:rPr>
        <w:t>视为提供虚假材料。</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jc w:val="center"/>
        <w:rPr>
          <w:rStyle w:val="22"/>
          <w:rFonts w:hint="eastAsia" w:ascii="宋体" w:hAnsi="宋体" w:eastAsia="宋体" w:cs="宋体"/>
          <w:color w:val="auto"/>
          <w:sz w:val="21"/>
          <w:szCs w:val="21"/>
          <w:highlight w:val="none"/>
          <w:lang w:eastAsia="zh-CN"/>
        </w:rPr>
      </w:pPr>
      <w:r>
        <w:rPr>
          <w:rStyle w:val="22"/>
          <w:rFonts w:hint="eastAsia" w:ascii="宋体" w:hAnsi="宋体" w:eastAsia="宋体" w:cs="宋体"/>
          <w:color w:val="auto"/>
          <w:sz w:val="21"/>
          <w:szCs w:val="21"/>
          <w:highlight w:val="none"/>
        </w:rPr>
        <w:t>三-1-②优先类节能产品、环境标志产品证明材料（价格扣除适用，若有）</w:t>
      </w:r>
    </w:p>
    <w:p>
      <w:pPr>
        <w:pStyle w:val="16"/>
        <w:keepNext w:val="0"/>
        <w:keepLines w:val="0"/>
        <w:widowControl/>
        <w:suppressLineNumbers w:val="0"/>
        <w:jc w:val="center"/>
        <w:rPr>
          <w:rStyle w:val="22"/>
          <w:rFonts w:hint="eastAsia" w:ascii="宋体" w:hAnsi="宋体" w:eastAsia="宋体" w:cs="宋体"/>
          <w:color w:val="auto"/>
          <w:sz w:val="21"/>
          <w:szCs w:val="21"/>
          <w:highlight w:val="none"/>
          <w:lang w:eastAsia="zh-CN"/>
        </w:rPr>
      </w:pPr>
      <w:r>
        <w:rPr>
          <w:rStyle w:val="22"/>
          <w:rFonts w:hint="eastAsia" w:ascii="宋体" w:hAnsi="宋体" w:eastAsia="宋体" w:cs="宋体"/>
          <w:color w:val="auto"/>
          <w:sz w:val="21"/>
          <w:szCs w:val="21"/>
          <w:highlight w:val="none"/>
        </w:rPr>
        <w:t>三-2小型、微型企业产品等价格扣除证明材料（若有）</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三-2-①中小企业声明函（价格扣除适用，若有）</w:t>
      </w:r>
    </w:p>
    <w:p>
      <w:pPr>
        <w:pStyle w:val="7"/>
        <w:keepNext w:val="0"/>
        <w:keepLines w:val="0"/>
        <w:widowControl/>
        <w:suppressLineNumbers w:val="0"/>
        <w:spacing w:before="150" w:beforeAutospacing="0" w:after="150" w:afterAutospacing="0"/>
        <w:jc w:val="center"/>
        <w:rPr>
          <w:color w:val="auto"/>
          <w:highlight w:val="none"/>
        </w:rPr>
      </w:pPr>
      <w:r>
        <w:rPr>
          <w:rStyle w:val="22"/>
          <w:rFonts w:hint="eastAsia" w:ascii="宋体" w:hAnsi="宋体" w:eastAsia="宋体" w:cs="宋体"/>
          <w:b/>
          <w:color w:val="auto"/>
          <w:sz w:val="24"/>
          <w:szCs w:val="24"/>
          <w:highlight w:val="none"/>
        </w:rPr>
        <w:t>中小企业声明函（货物）</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1. </w:t>
      </w:r>
      <w:r>
        <w:rPr>
          <w:rFonts w:hint="eastAsia" w:ascii="宋体" w:hAnsi="宋体" w:eastAsia="宋体" w:cs="宋体"/>
          <w:color w:val="auto"/>
          <w:sz w:val="21"/>
          <w:szCs w:val="21"/>
          <w:highlight w:val="none"/>
          <w:u w:val="single"/>
        </w:rPr>
        <w:t> （标的名称） </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行业；制造商为（企业名称），从业人员</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2. </w:t>
      </w:r>
      <w:r>
        <w:rPr>
          <w:rFonts w:hint="eastAsia" w:ascii="宋体" w:hAnsi="宋体" w:eastAsia="宋体" w:cs="宋体"/>
          <w:color w:val="auto"/>
          <w:sz w:val="21"/>
          <w:szCs w:val="21"/>
          <w:highlight w:val="none"/>
          <w:u w:val="single"/>
        </w:rPr>
        <w:t> （标的名称） </w:t>
      </w:r>
      <w:r>
        <w:rPr>
          <w:rFonts w:hint="eastAsia" w:ascii="宋体" w:hAnsi="宋体" w:eastAsia="宋体" w:cs="宋体"/>
          <w:color w:val="auto"/>
          <w:sz w:val="21"/>
          <w:szCs w:val="21"/>
          <w:highlight w:val="none"/>
        </w:rPr>
        <w:t>， 属于</w:t>
      </w:r>
      <w:r>
        <w:rPr>
          <w:rFonts w:hint="eastAsia" w:ascii="宋体" w:hAnsi="宋体" w:eastAsia="宋体" w:cs="宋体"/>
          <w:color w:val="auto"/>
          <w:sz w:val="21"/>
          <w:szCs w:val="21"/>
          <w:highlight w:val="none"/>
          <w:u w:val="single"/>
        </w:rPr>
        <w:t> （采购文件中明确的所属行业 ）</w:t>
      </w:r>
      <w:r>
        <w:rPr>
          <w:rFonts w:hint="eastAsia" w:ascii="宋体" w:hAnsi="宋体" w:eastAsia="宋体" w:cs="宋体"/>
          <w:color w:val="auto"/>
          <w:sz w:val="21"/>
          <w:szCs w:val="21"/>
          <w:highlight w:val="none"/>
        </w:rPr>
        <w:t>行业；制造商为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ind w:left="0" w:firstLine="420"/>
        <w:rPr>
          <w:color w:val="auto"/>
          <w:highlight w:val="none"/>
        </w:rPr>
      </w:pPr>
      <w:r>
        <w:rPr>
          <w:rFonts w:hint="default" w:ascii="Calibri" w:hAnsi="Calibri" w:cs="Calibri"/>
          <w:color w:val="auto"/>
          <w:sz w:val="24"/>
          <w:szCs w:val="24"/>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pStyle w:val="16"/>
        <w:keepNext w:val="0"/>
        <w:keepLines w:val="0"/>
        <w:widowControl/>
        <w:suppressLineNumbers w:val="0"/>
        <w:spacing w:before="75" w:beforeAutospacing="0" w:after="75" w:afterAutospacing="0"/>
        <w:ind w:left="0"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企业名称（盖章）：</w:t>
      </w:r>
    </w:p>
    <w:p>
      <w:pPr>
        <w:pStyle w:val="16"/>
        <w:keepNext w:val="0"/>
        <w:keepLines w:val="0"/>
        <w:widowControl/>
        <w:suppressLineNumbers w:val="0"/>
        <w:spacing w:before="75" w:beforeAutospacing="0" w:after="75" w:afterAutospacing="0"/>
        <w:ind w:left="0" w:firstLine="5040" w:firstLineChars="2400"/>
        <w:rPr>
          <w:color w:val="auto"/>
          <w:highlight w:val="none"/>
        </w:rPr>
      </w:pPr>
      <w:r>
        <w:rPr>
          <w:rFonts w:hint="eastAsia" w:ascii="宋体" w:hAnsi="宋体" w:eastAsia="宋体" w:cs="宋体"/>
          <w:color w:val="auto"/>
          <w:sz w:val="21"/>
          <w:szCs w:val="21"/>
          <w:highlight w:val="none"/>
        </w:rPr>
        <w:t>日期：</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1、从业人员、营业收入、资产总额填报上一年度数据，无上一年度数据的新成立企业可不填报。</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keepNext w:val="0"/>
        <w:keepLines w:val="0"/>
        <w:pageBreakBefore/>
        <w:widowControl/>
        <w:suppressLineNumbers w:val="0"/>
        <w:spacing w:before="150" w:beforeAutospacing="0" w:after="150" w:afterAutospacing="0"/>
        <w:jc w:val="center"/>
        <w:rPr>
          <w:color w:val="auto"/>
          <w:highlight w:val="none"/>
        </w:rPr>
      </w:pPr>
      <w:r>
        <w:rPr>
          <w:rStyle w:val="22"/>
          <w:rFonts w:hint="eastAsia" w:ascii="宋体" w:hAnsi="宋体" w:eastAsia="宋体" w:cs="宋体"/>
          <w:b/>
          <w:color w:val="auto"/>
          <w:sz w:val="24"/>
          <w:szCs w:val="24"/>
          <w:highlight w:val="none"/>
        </w:rPr>
        <w:t>中小企业声明函（工程、服务</w:t>
      </w:r>
      <w:r>
        <w:rPr>
          <w:rStyle w:val="22"/>
          <w:rFonts w:hint="eastAsia" w:ascii="宋体" w:hAnsi="宋体" w:eastAsia="宋体" w:cs="宋体"/>
          <w:b/>
          <w:color w:val="auto"/>
          <w:sz w:val="21"/>
          <w:szCs w:val="21"/>
          <w:highlight w:val="none"/>
        </w:rPr>
        <w:t>）</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本公司（联合体）郑重声明，根据《政府采购促进中小企业发展管理办法》（财库﹝2020﹞46 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 （标的名称）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w:t>
      </w:r>
      <w:r>
        <w:rPr>
          <w:rFonts w:hint="eastAsia" w:ascii="宋体" w:hAnsi="宋体" w:eastAsia="宋体" w:cs="宋体"/>
          <w:color w:val="auto"/>
          <w:sz w:val="21"/>
          <w:szCs w:val="21"/>
          <w:highlight w:val="none"/>
          <w:vertAlign w:val="superscript"/>
        </w:rPr>
        <w:t>1</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2.</w:t>
      </w:r>
      <w:r>
        <w:rPr>
          <w:rFonts w:hint="eastAsia" w:ascii="宋体" w:hAnsi="宋体" w:eastAsia="宋体" w:cs="宋体"/>
          <w:color w:val="auto"/>
          <w:sz w:val="21"/>
          <w:szCs w:val="21"/>
          <w:highlight w:val="none"/>
          <w:u w:val="single"/>
        </w:rPr>
        <w:t> （标的名称）</w:t>
      </w:r>
      <w:r>
        <w:rPr>
          <w:rFonts w:hint="eastAsia" w:ascii="宋体" w:hAnsi="宋体" w:eastAsia="宋体" w:cs="宋体"/>
          <w:color w:val="auto"/>
          <w:sz w:val="21"/>
          <w:szCs w:val="21"/>
          <w:highlight w:val="none"/>
        </w:rPr>
        <w:t>，属于</w:t>
      </w:r>
      <w:r>
        <w:rPr>
          <w:rFonts w:hint="eastAsia" w:ascii="宋体" w:hAnsi="宋体" w:eastAsia="宋体" w:cs="宋体"/>
          <w:color w:val="auto"/>
          <w:sz w:val="21"/>
          <w:szCs w:val="21"/>
          <w:highlight w:val="none"/>
          <w:u w:val="single"/>
        </w:rPr>
        <w:t>（采购文件中明确的所属行业）</w:t>
      </w:r>
      <w:r>
        <w:rPr>
          <w:rFonts w:hint="eastAsia" w:ascii="宋体" w:hAnsi="宋体" w:eastAsia="宋体" w:cs="宋体"/>
          <w:color w:val="auto"/>
          <w:sz w:val="21"/>
          <w:szCs w:val="21"/>
          <w:highlight w:val="none"/>
        </w:rPr>
        <w:t>；承建（承接）企业为</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以上企业，不属于大企业的分支机构，不存在控股股东为大企业的情形，也不存在与大企业的负责人为同一人的情形。</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本企业对上述声明内容的真实性负责。如有虚假，将依法承担相应责任。</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企业名称（盖章）：   </w:t>
      </w:r>
    </w:p>
    <w:p>
      <w:pPr>
        <w:pStyle w:val="16"/>
        <w:keepNext w:val="0"/>
        <w:keepLines w:val="0"/>
        <w:widowControl/>
        <w:suppressLineNumbers w:val="0"/>
        <w:spacing w:before="75" w:beforeAutospacing="0" w:after="75" w:afterAutospacing="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日期：</w:t>
      </w:r>
    </w:p>
    <w:p>
      <w:pPr>
        <w:pStyle w:val="16"/>
        <w:keepNext w:val="0"/>
        <w:keepLines w:val="0"/>
        <w:widowControl/>
        <w:suppressLineNumbers w:val="0"/>
        <w:spacing w:before="75" w:beforeAutospacing="0" w:after="75" w:afterAutospacing="0"/>
        <w:rPr>
          <w:rFonts w:hint="eastAsia" w:ascii="宋体" w:hAnsi="宋体" w:eastAsia="宋体" w:cs="宋体"/>
          <w:color w:val="auto"/>
          <w:sz w:val="21"/>
          <w:szCs w:val="21"/>
          <w:highlight w:val="none"/>
        </w:rPr>
      </w:pP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1、从业人员、营业收入、资产总额填报上一年度数据，无上一年度数据的新成立企业可不填报。</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keepNext w:val="0"/>
        <w:keepLines w:val="0"/>
        <w:widowControl/>
        <w:suppressLineNumbers w:val="0"/>
        <w:spacing w:before="75" w:beforeAutospacing="0" w:after="75" w:afterAutospacing="0"/>
        <w:ind w:left="0" w:firstLine="420"/>
        <w:rPr>
          <w:color w:val="auto"/>
          <w:highlight w:val="none"/>
        </w:rPr>
      </w:pPr>
      <w:r>
        <w:rPr>
          <w:rStyle w:val="22"/>
          <w:rFonts w:hint="eastAsia" w:ascii="宋体" w:hAnsi="宋体" w:eastAsia="宋体" w:cs="宋体"/>
          <w:color w:val="auto"/>
          <w:sz w:val="21"/>
          <w:szCs w:val="21"/>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 </w:t>
      </w:r>
    </w:p>
    <w:p>
      <w:pPr>
        <w:pStyle w:val="16"/>
        <w:keepNext w:val="0"/>
        <w:keepLines w:val="0"/>
        <w:widowControl/>
        <w:suppressLineNumbers w:val="0"/>
        <w:spacing w:after="240" w:afterAutospacing="0"/>
        <w:rPr>
          <w:rFonts w:hint="eastAsia" w:ascii="Calibri" w:hAnsi="Calibri" w:eastAsia="宋体" w:cs="Calibri"/>
          <w:color w:val="auto"/>
          <w:sz w:val="21"/>
          <w:szCs w:val="21"/>
          <w:highlight w:val="none"/>
          <w:lang w:eastAsia="zh-CN"/>
        </w:rPr>
      </w:pPr>
    </w:p>
    <w:p>
      <w:pPr>
        <w:pStyle w:val="16"/>
        <w:keepNext w:val="0"/>
        <w:keepLines w:val="0"/>
        <w:widowControl/>
        <w:suppressLineNumbers w:val="0"/>
        <w:spacing w:after="240" w:afterAutospacing="0"/>
        <w:rPr>
          <w:rFonts w:hint="eastAsia" w:ascii="Calibri" w:hAnsi="Calibri" w:eastAsia="宋体" w:cs="Calibri"/>
          <w:color w:val="auto"/>
          <w:sz w:val="21"/>
          <w:szCs w:val="21"/>
          <w:highlight w:val="none"/>
          <w:lang w:eastAsia="zh-CN"/>
        </w:rPr>
      </w:pPr>
    </w:p>
    <w:p>
      <w:pPr>
        <w:pStyle w:val="16"/>
        <w:keepNext w:val="0"/>
        <w:keepLines w:val="0"/>
        <w:widowControl/>
        <w:suppressLineNumbers w:val="0"/>
        <w:spacing w:after="240" w:afterAutospacing="0"/>
        <w:rPr>
          <w:rFonts w:hint="eastAsia" w:ascii="Calibri" w:hAnsi="Calibri" w:eastAsia="宋体" w:cs="Calibri"/>
          <w:color w:val="auto"/>
          <w:sz w:val="21"/>
          <w:szCs w:val="21"/>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三-2-②小型、微型企业等证明材料（价格扣除适用，若有）</w:t>
      </w:r>
    </w:p>
    <w:p>
      <w:pPr>
        <w:pStyle w:val="16"/>
        <w:keepNext w:val="0"/>
        <w:keepLines w:val="0"/>
        <w:widowControl/>
        <w:suppressLineNumbers w:val="0"/>
        <w:rPr>
          <w:color w:val="auto"/>
          <w:highlight w:val="none"/>
        </w:rPr>
      </w:pPr>
      <w:r>
        <w:rPr>
          <w:rStyle w:val="22"/>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编制说明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1、投标人应按照招标文件要求提供相应证明材料，证明材料应与《中小企业声明函》的内容相一致，否则视为《中小企业声明函》内容不真实。</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2、投标人为监狱企业的，根据其提供的由省级以上监狱管理局、戒毒管理局（含新疆生产建设兵团）出具的属于监狱企业的证明文件进行认定，监狱企业视同小型、微型企业。</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6"/>
        <w:keepNext w:val="0"/>
        <w:keepLines w:val="0"/>
        <w:widowControl/>
        <w:suppressLineNumbers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附：</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残疾人福利性单位声明函（价格扣除适用，若有）</w:t>
      </w:r>
    </w:p>
    <w:p>
      <w:pPr>
        <w:pStyle w:val="16"/>
        <w:keepNext w:val="0"/>
        <w:keepLines w:val="0"/>
        <w:widowControl/>
        <w:suppressLineNumbers w:val="0"/>
        <w:rPr>
          <w:color w:val="auto"/>
          <w:highlight w:val="none"/>
        </w:rPr>
      </w:pPr>
      <w:r>
        <w:rPr>
          <w:rStyle w:val="22"/>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项目采购活动：</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）提供本投标人制造的</w:t>
      </w:r>
      <w:r>
        <w:rPr>
          <w:rFonts w:hint="eastAsia" w:ascii="宋体" w:hAnsi="宋体" w:eastAsia="宋体" w:cs="宋体"/>
          <w:color w:val="auto"/>
          <w:sz w:val="21"/>
          <w:szCs w:val="21"/>
          <w:highlight w:val="none"/>
          <w:u w:val="single"/>
        </w:rPr>
        <w:t>（填写“所投采购包、品目号”）</w:t>
      </w:r>
      <w:r>
        <w:rPr>
          <w:rFonts w:hint="eastAsia" w:ascii="宋体" w:hAnsi="宋体" w:eastAsia="宋体" w:cs="宋体"/>
          <w:color w:val="auto"/>
          <w:sz w:val="21"/>
          <w:szCs w:val="21"/>
          <w:highlight w:val="none"/>
        </w:rPr>
        <w:t>货物，或提供其他残疾人福利性单位制造的</w:t>
      </w:r>
      <w:r>
        <w:rPr>
          <w:rFonts w:hint="eastAsia" w:ascii="宋体" w:hAnsi="宋体" w:eastAsia="宋体" w:cs="宋体"/>
          <w:color w:val="auto"/>
          <w:sz w:val="21"/>
          <w:szCs w:val="21"/>
          <w:highlight w:val="none"/>
          <w:u w:val="single"/>
        </w:rPr>
        <w:t>（填写“所投采购包、品目号”）</w:t>
      </w:r>
      <w:r>
        <w:rPr>
          <w:rFonts w:hint="eastAsia" w:ascii="宋体" w:hAnsi="宋体" w:eastAsia="宋体" w:cs="宋体"/>
          <w:color w:val="auto"/>
          <w:sz w:val="21"/>
          <w:szCs w:val="21"/>
          <w:highlight w:val="none"/>
        </w:rPr>
        <w:t>货物（不包括使用非残疾人福利性单位注册商标的货物）。（说明：只有部分货物由残疾人福利企业制造的，在该货物后标</w:t>
      </w:r>
      <w:r>
        <w:rPr>
          <w:rFonts w:ascii="Segoe UI Symbol" w:hAnsi="Segoe UI Symbol" w:eastAsia="Segoe UI Symbol" w:cs="Segoe UI Symbol"/>
          <w:color w:val="auto"/>
          <w:sz w:val="19"/>
          <w:szCs w:val="19"/>
          <w:highlight w:val="none"/>
          <w:shd w:val="clear" w:fill="FFFFFF"/>
        </w:rPr>
        <w:t>★</w:t>
      </w:r>
      <w:r>
        <w:rPr>
          <w:rFonts w:hint="eastAsia" w:ascii="宋体" w:hAnsi="宋体" w:eastAsia="宋体" w:cs="宋体"/>
          <w:color w:val="auto"/>
          <w:sz w:val="21"/>
          <w:szCs w:val="21"/>
          <w:highlight w:val="none"/>
        </w:rPr>
        <w:t>）</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）由本投标人承建的</w:t>
      </w:r>
      <w:r>
        <w:rPr>
          <w:rFonts w:hint="eastAsia" w:ascii="宋体" w:hAnsi="宋体" w:eastAsia="宋体" w:cs="宋体"/>
          <w:color w:val="auto"/>
          <w:sz w:val="21"/>
          <w:szCs w:val="21"/>
          <w:highlight w:val="none"/>
          <w:u w:val="single"/>
        </w:rPr>
        <w:t>（填写“所投采购包、品目号”）</w:t>
      </w:r>
      <w:r>
        <w:rPr>
          <w:rFonts w:hint="eastAsia" w:ascii="宋体" w:hAnsi="宋体" w:eastAsia="宋体" w:cs="宋体"/>
          <w:color w:val="auto"/>
          <w:sz w:val="21"/>
          <w:szCs w:val="21"/>
          <w:highlight w:val="none"/>
        </w:rPr>
        <w:t>工程</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 ）由本投标人承接的</w:t>
      </w:r>
      <w:r>
        <w:rPr>
          <w:rFonts w:hint="eastAsia" w:ascii="宋体" w:hAnsi="宋体" w:eastAsia="宋体" w:cs="宋体"/>
          <w:color w:val="auto"/>
          <w:sz w:val="21"/>
          <w:szCs w:val="21"/>
          <w:highlight w:val="none"/>
          <w:u w:val="single"/>
        </w:rPr>
        <w:t>（填写“所投采购包、品目号”）</w:t>
      </w:r>
      <w:r>
        <w:rPr>
          <w:rFonts w:hint="eastAsia" w:ascii="宋体" w:hAnsi="宋体" w:eastAsia="宋体" w:cs="宋体"/>
          <w:color w:val="auto"/>
          <w:sz w:val="21"/>
          <w:szCs w:val="21"/>
          <w:highlight w:val="none"/>
        </w:rPr>
        <w:t>服务；</w:t>
      </w:r>
    </w:p>
    <w:p>
      <w:pPr>
        <w:pStyle w:val="16"/>
        <w:keepNext w:val="0"/>
        <w:keepLines w:val="0"/>
        <w:widowControl/>
        <w:suppressLineNumbers w:val="0"/>
        <w:spacing w:before="75" w:beforeAutospacing="0" w:after="75" w:afterAutospacing="0"/>
        <w:ind w:left="0" w:firstLine="420"/>
        <w:rPr>
          <w:color w:val="auto"/>
          <w:highlight w:val="none"/>
        </w:rPr>
      </w:pPr>
      <w:r>
        <w:rPr>
          <w:rFonts w:hint="eastAsia" w:ascii="宋体" w:hAnsi="宋体" w:eastAsia="宋体" w:cs="宋体"/>
          <w:color w:val="auto"/>
          <w:sz w:val="21"/>
          <w:szCs w:val="21"/>
          <w:highlight w:val="none"/>
        </w:rPr>
        <w:t>本投标人对上述声明的真实性负责。如有虚假，将依法承担相应责任。</w:t>
      </w:r>
    </w:p>
    <w:p>
      <w:pPr>
        <w:pStyle w:val="16"/>
        <w:keepNext w:val="0"/>
        <w:keepLines w:val="0"/>
        <w:widowControl/>
        <w:suppressLineNumbers w:val="0"/>
        <w:spacing w:before="75" w:beforeAutospacing="0" w:after="75" w:afterAutospacing="0"/>
        <w:ind w:left="0" w:firstLine="420"/>
        <w:rPr>
          <w:color w:val="auto"/>
          <w:highlight w:val="none"/>
        </w:rPr>
      </w:pPr>
      <w:r>
        <w:rPr>
          <w:rFonts w:hint="default" w:ascii="Calibri" w:hAnsi="Calibri" w:cs="Calibri"/>
          <w:color w:val="auto"/>
          <w:sz w:val="21"/>
          <w:szCs w:val="21"/>
          <w:highlight w:val="none"/>
        </w:rPr>
        <w:t> </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备注：</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1、请投标人按照实际情况编制填写本声明函，并在相应的（）中打“√”。</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2、若《残疾人福利性单位声明函》内容不真实，</w:t>
      </w:r>
      <w:r>
        <w:rPr>
          <w:rStyle w:val="22"/>
          <w:rFonts w:hint="eastAsia" w:ascii="宋体" w:hAnsi="宋体" w:eastAsia="宋体" w:cs="宋体"/>
          <w:color w:val="auto"/>
          <w:sz w:val="21"/>
          <w:szCs w:val="21"/>
          <w:highlight w:val="none"/>
        </w:rPr>
        <w:t>视为提供虚假材料。</w:t>
      </w:r>
    </w:p>
    <w:p>
      <w:pPr>
        <w:pStyle w:val="16"/>
        <w:keepNext w:val="0"/>
        <w:keepLines w:val="0"/>
        <w:widowControl/>
        <w:suppressLineNumbers w:val="0"/>
        <w:spacing w:before="75" w:beforeAutospacing="0" w:after="75" w:afterAutospacing="0"/>
        <w:rPr>
          <w:color w:val="auto"/>
          <w:highlight w:val="none"/>
        </w:rPr>
      </w:pPr>
      <w:r>
        <w:rPr>
          <w:rFonts w:hint="eastAsia" w:ascii="宋体" w:hAnsi="宋体" w:eastAsia="宋体" w:cs="宋体"/>
          <w:color w:val="auto"/>
          <w:sz w:val="21"/>
          <w:szCs w:val="21"/>
          <w:highlight w:val="none"/>
        </w:rPr>
        <w:t>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spacing w:before="0" w:beforeAutospacing="0" w:after="0" w:afterAutospacing="0"/>
        <w:ind w:left="0" w:right="0" w:firstLine="420"/>
        <w:rPr>
          <w:rFonts w:hint="eastAsia" w:ascii="宋体" w:hAnsi="宋体" w:eastAsia="宋体" w:cs="宋体"/>
          <w:color w:val="auto"/>
          <w:sz w:val="21"/>
          <w:szCs w:val="21"/>
          <w:highlight w:val="none"/>
        </w:rPr>
      </w:pPr>
    </w:p>
    <w:p>
      <w:pPr>
        <w:pStyle w:val="16"/>
        <w:keepNext w:val="0"/>
        <w:keepLines w:val="0"/>
        <w:widowControl/>
        <w:suppressLineNumbers w:val="0"/>
        <w:spacing w:before="0" w:beforeAutospacing="0" w:after="0" w:afterAutospacing="0"/>
        <w:ind w:left="0" w:right="0" w:firstLine="420"/>
        <w:rPr>
          <w:color w:val="auto"/>
          <w:highlight w:val="none"/>
        </w:rPr>
      </w:pPr>
      <w:r>
        <w:rPr>
          <w:rFonts w:hint="eastAsia" w:ascii="宋体" w:hAnsi="宋体" w:eastAsia="宋体" w:cs="宋体"/>
          <w:color w:val="auto"/>
          <w:sz w:val="21"/>
          <w:szCs w:val="21"/>
          <w:highlight w:val="none"/>
        </w:rPr>
        <w:t>附：</w:t>
      </w:r>
    </w:p>
    <w:p>
      <w:pPr>
        <w:pStyle w:val="16"/>
        <w:keepNext w:val="0"/>
        <w:keepLines w:val="0"/>
        <w:widowControl/>
        <w:suppressLineNumbers w:val="0"/>
        <w:spacing w:before="75" w:beforeAutospacing="0" w:after="75" w:afterAutospacing="0"/>
        <w:ind w:left="0" w:firstLine="0"/>
        <w:jc w:val="center"/>
        <w:rPr>
          <w:color w:val="auto"/>
          <w:highlight w:val="none"/>
        </w:rPr>
      </w:pPr>
      <w:r>
        <w:rPr>
          <w:rStyle w:val="22"/>
          <w:rFonts w:hint="eastAsia" w:ascii="宋体" w:hAnsi="宋体" w:eastAsia="宋体" w:cs="宋体"/>
          <w:color w:val="auto"/>
          <w:highlight w:val="none"/>
        </w:rPr>
        <w:t>监狱企业证明材料</w:t>
      </w:r>
    </w:p>
    <w:p>
      <w:pPr>
        <w:pStyle w:val="16"/>
        <w:keepNext w:val="0"/>
        <w:keepLines w:val="0"/>
        <w:widowControl/>
        <w:suppressLineNumbers w:val="0"/>
        <w:spacing w:before="75" w:beforeAutospacing="0" w:after="75" w:afterAutospacing="0"/>
        <w:ind w:left="0" w:firstLine="0"/>
        <w:jc w:val="center"/>
        <w:rPr>
          <w:color w:val="auto"/>
          <w:highlight w:val="none"/>
        </w:rPr>
      </w:pPr>
      <w:r>
        <w:rPr>
          <w:rStyle w:val="22"/>
          <w:rFonts w:hint="eastAsia" w:ascii="宋体" w:hAnsi="宋体" w:eastAsia="宋体" w:cs="宋体"/>
          <w:color w:val="auto"/>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4"/>
          <w:szCs w:val="24"/>
          <w:highlight w:val="none"/>
        </w:rPr>
        <w:t>  投标人为监狱企业，提供本单位制造的货物（承接的服务），并在投标文件中提供省级以上监狱管理局、戒毒管理局（含新疆生产建设兵团）出具的属于监狱企业的证明文件。</w:t>
      </w:r>
    </w:p>
    <w:p>
      <w:pPr>
        <w:pStyle w:val="16"/>
        <w:keepNext w:val="0"/>
        <w:keepLines w:val="0"/>
        <w:widowControl/>
        <w:suppressLineNumbers w:val="0"/>
        <w:spacing w:before="75" w:beforeAutospacing="0"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before="75" w:beforeAutospacing="0"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before="75" w:beforeAutospacing="0"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before="75" w:beforeAutospacing="0"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before="75" w:beforeAutospacing="0"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before="75" w:beforeAutospacing="0"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before="75" w:beforeAutospacing="0"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rStyle w:val="22"/>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三-3招标文件规定的其他价格扣除证明材料（若有）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编制说明</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若投标人可享受招标文件规定的除</w:t>
      </w:r>
      <w:r>
        <w:rPr>
          <w:rStyle w:val="22"/>
          <w:rFonts w:hint="eastAsia" w:ascii="宋体" w:hAnsi="宋体" w:eastAsia="宋体" w:cs="宋体"/>
          <w:color w:val="auto"/>
          <w:sz w:val="21"/>
          <w:szCs w:val="21"/>
          <w:highlight w:val="none"/>
        </w:rPr>
        <w:t>“节能（非强制类）、环境标志产品价格扣除”及“小型、微型企业产品等价格扣除”</w:t>
      </w:r>
      <w:r>
        <w:rPr>
          <w:rFonts w:hint="eastAsia" w:ascii="宋体" w:hAnsi="宋体" w:eastAsia="宋体" w:cs="宋体"/>
          <w:color w:val="auto"/>
          <w:sz w:val="21"/>
          <w:szCs w:val="21"/>
          <w:highlight w:val="none"/>
        </w:rPr>
        <w:t>外的其他价格扣除优惠，则投标人应按照招标文件要求提供相应证明材料。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w:t>
      </w: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四、招标文件规定的加分证明材料（若有）</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r>
        <w:rPr>
          <w:rStyle w:val="22"/>
          <w:rFonts w:hint="eastAsia" w:ascii="宋体" w:hAnsi="宋体" w:eastAsia="宋体" w:cs="宋体"/>
          <w:color w:val="auto"/>
          <w:sz w:val="21"/>
          <w:szCs w:val="21"/>
          <w:highlight w:val="none"/>
        </w:rPr>
        <w:t>四-1优先类节能产品、环境标志产品加分证明材料（若有）</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四-1-①优先类节能产品、环境标志产品统计表（加分适用，若有）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项目编号：</w:t>
      </w:r>
      <w:r>
        <w:rPr>
          <w:rFonts w:hint="eastAsia" w:ascii="宋体" w:hAnsi="宋体" w:eastAsia="宋体" w:cs="宋体"/>
          <w:color w:val="auto"/>
          <w:sz w:val="21"/>
          <w:szCs w:val="21"/>
          <w:highlight w:val="none"/>
          <w:u w:val="single"/>
        </w:rPr>
        <w:t>                   </w:t>
      </w:r>
    </w:p>
    <w:p>
      <w:pPr>
        <w:pStyle w:val="16"/>
        <w:keepNext w:val="0"/>
        <w:keepLines w:val="0"/>
        <w:widowControl/>
        <w:suppressLineNumbers w:val="0"/>
        <w:jc w:val="right"/>
        <w:rPr>
          <w:color w:val="auto"/>
          <w:highlight w:val="none"/>
        </w:rPr>
      </w:pPr>
      <w:r>
        <w:rPr>
          <w:rFonts w:hint="eastAsia" w:ascii="宋体" w:hAnsi="宋体" w:eastAsia="宋体" w:cs="宋体"/>
          <w:color w:val="auto"/>
          <w:sz w:val="21"/>
          <w:szCs w:val="21"/>
          <w:highlight w:val="none"/>
        </w:rPr>
        <w:t>货币及单位：人民币元</w:t>
      </w:r>
    </w:p>
    <w:tbl>
      <w:tblPr>
        <w:tblStyle w:val="19"/>
        <w:tblW w:w="8520"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219"/>
        <w:gridCol w:w="1215"/>
        <w:gridCol w:w="1209"/>
        <w:gridCol w:w="1221"/>
        <w:gridCol w:w="1209"/>
        <w:gridCol w:w="122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7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7256" w:type="dxa"/>
            <w:gridSpan w:val="6"/>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本采购包内属于节能、环境标志产品的情况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7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采购包</w:t>
            </w:r>
          </w:p>
        </w:tc>
        <w:tc>
          <w:tcPr>
            <w:tcW w:w="118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1179"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货物名称</w:t>
            </w:r>
          </w:p>
        </w:tc>
        <w:tc>
          <w:tcPr>
            <w:tcW w:w="1191"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单价</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1179"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数量</w:t>
            </w:r>
          </w:p>
        </w:tc>
        <w:tc>
          <w:tcPr>
            <w:tcW w:w="1192"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总价</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（现场）</w:t>
            </w:r>
          </w:p>
        </w:tc>
        <w:tc>
          <w:tcPr>
            <w:tcW w:w="1180"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jc w:val="center"/>
        </w:trPr>
        <w:tc>
          <w:tcPr>
            <w:tcW w:w="1174" w:type="dxa"/>
            <w:vMerge w:val="restart"/>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118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91"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92"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80"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jc w:val="center"/>
        </w:trPr>
        <w:tc>
          <w:tcPr>
            <w:tcW w:w="1174" w:type="dxa"/>
            <w:vMerge w:val="continue"/>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118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91"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7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92"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180"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117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c>
          <w:tcPr>
            <w:tcW w:w="7256" w:type="dxa"/>
            <w:gridSpan w:val="6"/>
            <w:shd w:val="clear" w:color="auto" w:fill="auto"/>
            <w:tcMar>
              <w:top w:w="0" w:type="dxa"/>
              <w:left w:w="105" w:type="dxa"/>
              <w:bottom w:w="0" w:type="dxa"/>
              <w:right w:w="105" w:type="dxa"/>
            </w:tcMar>
            <w:vAlign w:val="top"/>
          </w:tcPr>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a.采购包内属于节能、环境标志产品的报价总金额：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b.采购包投标总价（报价总金额）：</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c.“采购包内属于节能、环境标志产品的报价总金额”占“采购包投标总价（报价总金额）”的比例（以</w:t>
            </w:r>
            <w:r>
              <w:rPr>
                <w:rFonts w:hint="default" w:ascii="Calibri" w:hAnsi="Calibri" w:eastAsia="宋体" w:cs="Calibri"/>
                <w:color w:val="auto"/>
                <w:sz w:val="21"/>
                <w:szCs w:val="21"/>
                <w:highlight w:val="none"/>
              </w:rPr>
              <w:t>%</w:t>
            </w:r>
            <w:r>
              <w:rPr>
                <w:rFonts w:hint="eastAsia" w:ascii="宋体" w:hAnsi="宋体" w:eastAsia="宋体" w:cs="宋体"/>
                <w:color w:val="auto"/>
                <w:sz w:val="21"/>
                <w:szCs w:val="21"/>
                <w:highlight w:val="none"/>
              </w:rPr>
              <w:t>列示）：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tc>
      </w:tr>
    </w:tbl>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1、对节能、环境标志产品计算加分时，只依据投标文件</w:t>
      </w:r>
      <w:r>
        <w:rPr>
          <w:rStyle w:val="22"/>
          <w:rFonts w:hint="eastAsia" w:ascii="宋体" w:hAnsi="宋体" w:eastAsia="宋体" w:cs="宋体"/>
          <w:color w:val="auto"/>
          <w:sz w:val="21"/>
          <w:szCs w:val="21"/>
          <w:highlight w:val="none"/>
        </w:rPr>
        <w:t>“四</w:t>
      </w:r>
      <w:r>
        <w:rPr>
          <w:rStyle w:val="22"/>
          <w:rFonts w:hint="default" w:ascii="Calibri" w:hAnsi="Calibri" w:eastAsia="宋体" w:cs="Calibri"/>
          <w:color w:val="auto"/>
          <w:sz w:val="21"/>
          <w:szCs w:val="21"/>
          <w:highlight w:val="none"/>
        </w:rPr>
        <w:t>-1-</w:t>
      </w:r>
      <w:r>
        <w:rPr>
          <w:rStyle w:val="22"/>
          <w:rFonts w:hint="eastAsia" w:ascii="宋体" w:hAnsi="宋体" w:eastAsia="宋体" w:cs="宋体"/>
          <w:color w:val="auto"/>
          <w:sz w:val="21"/>
          <w:szCs w:val="21"/>
          <w:highlight w:val="none"/>
        </w:rPr>
        <w:t>②优先类节能产品、环境标志产品加分证明材料（加分适用，若有）”。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2、本表以采购包为单位，不同采购包请分别填写；同一采购包请按照其品目号顺序分别填写。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3、具体统计、计算：</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3.1</w:t>
      </w:r>
      <w:r>
        <w:rPr>
          <w:rFonts w:hint="default" w:ascii="Calibri" w:hAnsi="Calibri" w:cs="Calibri"/>
          <w:color w:val="auto"/>
          <w:sz w:val="21"/>
          <w:szCs w:val="21"/>
          <w:highlight w:val="none"/>
        </w:rPr>
        <w:t> </w:t>
      </w:r>
      <w:r>
        <w:rPr>
          <w:rFonts w:hint="eastAsia" w:ascii="宋体" w:hAnsi="宋体" w:eastAsia="宋体" w:cs="宋体"/>
          <w:color w:val="auto"/>
          <w:sz w:val="21"/>
          <w:szCs w:val="21"/>
          <w:highlight w:val="none"/>
        </w:rPr>
        <w:t>若节能、环境标志产品仅是构成投标产品的部件、组件或零件，则该投标产品不享受鼓励优惠政策。同一品目中各认证证书不重复计算加分。强制类节能产品不享受加分。</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3.2计算结果若除不尽，可四舍五入保留到小数点后两位。</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3.3投标人应按照招标文件要求认真统计、计算，否则评标委员会不予认定。</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3.4若无节能、环境标志产品，不填写本表，否则，</w:t>
      </w:r>
      <w:r>
        <w:rPr>
          <w:rStyle w:val="22"/>
          <w:rFonts w:hint="eastAsia" w:ascii="宋体" w:hAnsi="宋体" w:eastAsia="宋体" w:cs="宋体"/>
          <w:color w:val="auto"/>
          <w:sz w:val="21"/>
          <w:szCs w:val="21"/>
          <w:highlight w:val="none"/>
        </w:rPr>
        <w:t>视为提供虚假材料</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四-1-②优先类节能产品、环境标志产品证明材料（加分适用，若有）</w:t>
      </w:r>
    </w:p>
    <w:p>
      <w:pPr>
        <w:pStyle w:val="16"/>
        <w:keepNext w:val="0"/>
        <w:keepLines w:val="0"/>
        <w:widowControl/>
        <w:suppressLineNumbers w:val="0"/>
        <w:jc w:val="center"/>
        <w:rPr>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四</w:t>
      </w:r>
      <w:r>
        <w:rPr>
          <w:rStyle w:val="22"/>
          <w:rFonts w:hint="eastAsia" w:ascii="宋体" w:hAnsi="宋体" w:eastAsia="宋体" w:cs="宋体"/>
          <w:color w:val="auto"/>
          <w:sz w:val="21"/>
          <w:szCs w:val="21"/>
          <w:highlight w:val="none"/>
        </w:rPr>
        <w:t>-2招标文件规定的其他加分证明材料（若有）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编制说明</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若投标人可享受招标文件规定的除</w:t>
      </w:r>
      <w:r>
        <w:rPr>
          <w:rStyle w:val="22"/>
          <w:rFonts w:hint="eastAsia" w:ascii="宋体" w:hAnsi="宋体" w:eastAsia="宋体" w:cs="宋体"/>
          <w:color w:val="auto"/>
          <w:sz w:val="21"/>
          <w:szCs w:val="21"/>
          <w:highlight w:val="none"/>
        </w:rPr>
        <w:t>“优先类节能产品、环境标志产品加分”</w:t>
      </w:r>
      <w:r>
        <w:rPr>
          <w:rFonts w:hint="eastAsia" w:ascii="宋体" w:hAnsi="宋体" w:eastAsia="宋体" w:cs="宋体"/>
          <w:color w:val="auto"/>
          <w:sz w:val="21"/>
          <w:szCs w:val="21"/>
          <w:highlight w:val="none"/>
        </w:rPr>
        <w:t>外的其他加分优惠，则投标人应按照招标文件要求提供相应证明材料。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rPr>
          <w:rFonts w:hint="eastAsia" w:ascii="宋体" w:hAnsi="宋体" w:eastAsia="宋体" w:cs="宋体"/>
          <w:color w:val="auto"/>
          <w:sz w:val="21"/>
          <w:szCs w:val="21"/>
          <w:highlight w:val="none"/>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8"/>
          <w:szCs w:val="28"/>
          <w:highlight w:val="none"/>
        </w:rPr>
        <w:t>封面格式</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48"/>
          <w:szCs w:val="48"/>
          <w:highlight w:val="none"/>
        </w:rPr>
        <w:t>政府采购投标文件</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48"/>
          <w:szCs w:val="48"/>
          <w:highlight w:val="none"/>
        </w:rPr>
        <w:t>（技术商务部分）</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36"/>
          <w:szCs w:val="36"/>
          <w:highlight w:val="none"/>
          <w:u w:val="single"/>
        </w:rPr>
        <w:t>（填写正本或副本）</w:t>
      </w:r>
    </w:p>
    <w:p>
      <w:pPr>
        <w:pStyle w:val="16"/>
        <w:keepNext w:val="0"/>
        <w:keepLines w:val="0"/>
        <w:widowControl/>
        <w:suppressLineNumbers w:val="0"/>
        <w:rPr>
          <w:color w:val="auto"/>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ind w:left="0" w:firstLine="1920"/>
        <w:rPr>
          <w:color w:val="auto"/>
          <w:highlight w:val="none"/>
        </w:rPr>
      </w:pPr>
      <w:r>
        <w:rPr>
          <w:rStyle w:val="22"/>
          <w:rFonts w:hint="eastAsia" w:ascii="宋体" w:hAnsi="宋体" w:eastAsia="宋体" w:cs="宋体"/>
          <w:color w:val="auto"/>
          <w:sz w:val="31"/>
          <w:szCs w:val="31"/>
          <w:highlight w:val="none"/>
        </w:rPr>
        <w:t>项目名称：</w:t>
      </w:r>
      <w:r>
        <w:rPr>
          <w:rStyle w:val="22"/>
          <w:rFonts w:hint="eastAsia" w:ascii="宋体" w:hAnsi="宋体" w:eastAsia="宋体" w:cs="宋体"/>
          <w:color w:val="auto"/>
          <w:sz w:val="31"/>
          <w:szCs w:val="31"/>
          <w:highlight w:val="none"/>
          <w:u w:val="single"/>
        </w:rPr>
        <w:t>（由投标人填写）</w:t>
      </w:r>
    </w:p>
    <w:p>
      <w:pPr>
        <w:pStyle w:val="16"/>
        <w:keepNext w:val="0"/>
        <w:keepLines w:val="0"/>
        <w:widowControl/>
        <w:suppressLineNumbers w:val="0"/>
        <w:ind w:left="0" w:firstLine="1920"/>
        <w:rPr>
          <w:color w:val="auto"/>
          <w:highlight w:val="none"/>
        </w:rPr>
      </w:pPr>
      <w:r>
        <w:rPr>
          <w:rStyle w:val="22"/>
          <w:rFonts w:hint="eastAsia" w:ascii="宋体" w:hAnsi="宋体" w:eastAsia="宋体" w:cs="宋体"/>
          <w:color w:val="auto"/>
          <w:sz w:val="31"/>
          <w:szCs w:val="31"/>
          <w:highlight w:val="none"/>
        </w:rPr>
        <w:t>项目编号：</w:t>
      </w:r>
      <w:r>
        <w:rPr>
          <w:rStyle w:val="22"/>
          <w:rFonts w:hint="eastAsia" w:ascii="宋体" w:hAnsi="宋体" w:eastAsia="宋体" w:cs="宋体"/>
          <w:color w:val="auto"/>
          <w:sz w:val="31"/>
          <w:szCs w:val="31"/>
          <w:highlight w:val="none"/>
          <w:u w:val="single"/>
        </w:rPr>
        <w:t>（由投标人填写）</w:t>
      </w:r>
    </w:p>
    <w:p>
      <w:pPr>
        <w:pStyle w:val="16"/>
        <w:keepNext w:val="0"/>
        <w:keepLines w:val="0"/>
        <w:widowControl/>
        <w:suppressLineNumbers w:val="0"/>
        <w:ind w:left="0" w:firstLine="1920"/>
        <w:rPr>
          <w:color w:val="auto"/>
          <w:highlight w:val="none"/>
        </w:rPr>
      </w:pPr>
      <w:r>
        <w:rPr>
          <w:rStyle w:val="22"/>
          <w:rFonts w:hint="eastAsia" w:ascii="宋体" w:hAnsi="宋体" w:eastAsia="宋体" w:cs="宋体"/>
          <w:color w:val="auto"/>
          <w:sz w:val="31"/>
          <w:szCs w:val="31"/>
          <w:highlight w:val="none"/>
        </w:rPr>
        <w:t>所投采购包：</w:t>
      </w:r>
      <w:r>
        <w:rPr>
          <w:rStyle w:val="22"/>
          <w:rFonts w:hint="eastAsia" w:ascii="宋体" w:hAnsi="宋体" w:eastAsia="宋体" w:cs="宋体"/>
          <w:color w:val="auto"/>
          <w:sz w:val="31"/>
          <w:szCs w:val="31"/>
          <w:highlight w:val="none"/>
          <w:u w:val="single"/>
        </w:rPr>
        <w:t>（由投标人填写）</w:t>
      </w:r>
    </w:p>
    <w:p>
      <w:pPr>
        <w:pStyle w:val="16"/>
        <w:keepNext w:val="0"/>
        <w:keepLines w:val="0"/>
        <w:widowControl/>
        <w:suppressLineNumbers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  </w:t>
      </w:r>
    </w:p>
    <w:p>
      <w:pPr>
        <w:pStyle w:val="16"/>
        <w:keepNext w:val="0"/>
        <w:keepLines w:val="0"/>
        <w:widowControl/>
        <w:suppressLineNumbers w:val="0"/>
        <w:rPr>
          <w:rFonts w:hint="eastAsia" w:ascii="宋体" w:hAnsi="宋体" w:eastAsia="宋体" w:cs="宋体"/>
          <w:color w:val="auto"/>
          <w:sz w:val="36"/>
          <w:szCs w:val="36"/>
          <w:highlight w:val="none"/>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31"/>
          <w:szCs w:val="31"/>
          <w:highlight w:val="none"/>
        </w:rPr>
        <w:t>投标人：</w:t>
      </w:r>
      <w:r>
        <w:rPr>
          <w:rStyle w:val="22"/>
          <w:rFonts w:hint="eastAsia" w:ascii="宋体" w:hAnsi="宋体" w:eastAsia="宋体" w:cs="宋体"/>
          <w:color w:val="auto"/>
          <w:sz w:val="31"/>
          <w:szCs w:val="31"/>
          <w:highlight w:val="none"/>
          <w:u w:val="single"/>
        </w:rPr>
        <w:t>（填写“全称”）</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31"/>
          <w:szCs w:val="31"/>
          <w:highlight w:val="none"/>
          <w:u w:val="single"/>
        </w:rPr>
        <w:t>（由投标人填写）</w:t>
      </w:r>
      <w:r>
        <w:rPr>
          <w:rStyle w:val="22"/>
          <w:rFonts w:hint="eastAsia" w:ascii="宋体" w:hAnsi="宋体" w:eastAsia="宋体" w:cs="宋体"/>
          <w:color w:val="auto"/>
          <w:sz w:val="31"/>
          <w:szCs w:val="31"/>
          <w:highlight w:val="none"/>
        </w:rPr>
        <w:t>年</w:t>
      </w:r>
      <w:r>
        <w:rPr>
          <w:rStyle w:val="22"/>
          <w:rFonts w:hint="eastAsia" w:ascii="宋体" w:hAnsi="宋体" w:eastAsia="宋体" w:cs="宋体"/>
          <w:color w:val="auto"/>
          <w:sz w:val="31"/>
          <w:szCs w:val="31"/>
          <w:highlight w:val="none"/>
          <w:u w:val="single"/>
        </w:rPr>
        <w:t>（由投标人填写）</w:t>
      </w:r>
      <w:r>
        <w:rPr>
          <w:rStyle w:val="22"/>
          <w:rFonts w:hint="eastAsia" w:ascii="宋体" w:hAnsi="宋体" w:eastAsia="宋体" w:cs="宋体"/>
          <w:color w:val="auto"/>
          <w:sz w:val="31"/>
          <w:szCs w:val="31"/>
          <w:highlight w:val="none"/>
        </w:rPr>
        <w:t>月</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rStyle w:val="22"/>
          <w:rFonts w:hint="eastAsia" w:ascii="宋体" w:hAnsi="宋体" w:eastAsia="宋体" w:cs="宋体"/>
          <w:color w:val="auto"/>
          <w:sz w:val="28"/>
          <w:szCs w:val="28"/>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8"/>
          <w:szCs w:val="28"/>
          <w:highlight w:val="none"/>
        </w:rPr>
        <w:t>索引</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一、标的说明一览表</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二、技术和服务要求响应表</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三、商务条件响应表</w:t>
      </w:r>
    </w:p>
    <w:p>
      <w:pPr>
        <w:pStyle w:val="16"/>
        <w:keepNext w:val="0"/>
        <w:keepLines w:val="0"/>
        <w:widowControl/>
        <w:suppressLineNumbers w:val="0"/>
        <w:rPr>
          <w:color w:val="auto"/>
          <w:highlight w:val="none"/>
        </w:rPr>
      </w:pPr>
      <w:r>
        <w:rPr>
          <w:rFonts w:hint="eastAsia" w:ascii="宋体" w:hAnsi="宋体" w:eastAsia="宋体" w:cs="宋体"/>
          <w:color w:val="auto"/>
          <w:sz w:val="28"/>
          <w:szCs w:val="28"/>
          <w:highlight w:val="none"/>
        </w:rPr>
        <w:t>四、投标人提交的其他资料（若有）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ind w:left="0"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技术商务部分中不得出现报价部分的全部或部分的投标报价信息（或组成资料），否则</w:t>
      </w:r>
      <w:r>
        <w:rPr>
          <w:rStyle w:val="22"/>
          <w:rFonts w:hint="eastAsia" w:ascii="宋体" w:hAnsi="宋体" w:eastAsia="宋体" w:cs="宋体"/>
          <w:color w:val="auto"/>
          <w:sz w:val="21"/>
          <w:szCs w:val="21"/>
          <w:highlight w:val="none"/>
        </w:rPr>
        <w:t>符合性审查不合格</w:t>
      </w:r>
      <w:r>
        <w:rPr>
          <w:rFonts w:hint="eastAsia" w:ascii="宋体" w:hAnsi="宋体" w:eastAsia="宋体" w:cs="宋体"/>
          <w:color w:val="auto"/>
          <w:sz w:val="21"/>
          <w:szCs w:val="21"/>
          <w:highlight w:val="none"/>
        </w:rPr>
        <w:t>。</w:t>
      </w:r>
    </w:p>
    <w:p>
      <w:pPr>
        <w:pStyle w:val="16"/>
        <w:keepNext w:val="0"/>
        <w:keepLines w:val="0"/>
        <w:widowControl/>
        <w:suppressLineNumbers w:val="0"/>
        <w:ind w:left="0" w:firstLine="420"/>
        <w:rPr>
          <w:rFonts w:hint="eastAsia" w:ascii="宋体" w:hAnsi="宋体" w:eastAsia="宋体" w:cs="宋体"/>
          <w:color w:val="auto"/>
          <w:sz w:val="21"/>
          <w:szCs w:val="21"/>
          <w:highlight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rPr>
      </w:pPr>
    </w:p>
    <w:p>
      <w:pPr>
        <w:pStyle w:val="16"/>
        <w:keepNext w:val="0"/>
        <w:keepLines w:val="0"/>
        <w:widowControl/>
        <w:suppressLineNumbers w:val="0"/>
        <w:ind w:left="0" w:firstLine="420"/>
        <w:rPr>
          <w:rFonts w:hint="eastAsia" w:ascii="宋体" w:hAnsi="宋体" w:eastAsia="宋体" w:cs="宋体"/>
          <w:color w:val="auto"/>
          <w:sz w:val="21"/>
          <w:szCs w:val="21"/>
          <w:highlight w:val="none"/>
        </w:rPr>
      </w:pP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ind w:left="0" w:firstLine="42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一、标的说明一览表</w:t>
      </w: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w:t>
      </w:r>
    </w:p>
    <w:tbl>
      <w:tblPr>
        <w:tblStyle w:val="1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79"/>
        <w:gridCol w:w="986"/>
        <w:gridCol w:w="1547"/>
        <w:gridCol w:w="864"/>
        <w:gridCol w:w="1146"/>
        <w:gridCol w:w="1135"/>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3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采购包</w:t>
            </w:r>
          </w:p>
        </w:tc>
        <w:tc>
          <w:tcPr>
            <w:tcW w:w="956"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1517"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投标标的</w:t>
            </w:r>
          </w:p>
        </w:tc>
        <w:tc>
          <w:tcPr>
            <w:tcW w:w="83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数量</w:t>
            </w:r>
          </w:p>
        </w:tc>
        <w:tc>
          <w:tcPr>
            <w:tcW w:w="1116"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规格（品牌/型号）</w:t>
            </w:r>
          </w:p>
        </w:tc>
        <w:tc>
          <w:tcPr>
            <w:tcW w:w="110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来源地</w:t>
            </w:r>
          </w:p>
        </w:tc>
        <w:tc>
          <w:tcPr>
            <w:tcW w:w="1818"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34" w:type="dxa"/>
            <w:vMerge w:val="restart"/>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956"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1517"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83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16"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05"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1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34" w:type="dxa"/>
            <w:vMerge w:val="continue"/>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956"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1517"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83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16"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05"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1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3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956"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517"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83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16"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105"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1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bl>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1、本表应按照下列规定填写：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1.1“采购包”、“品目号”、“投标标的”及“数量”应与招标文件《采购标的一览表》中的有关内容（“采购包”、“品目号”、“采购标的”及“数量”）保持一致。</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1.2“投标标的”为货物的：</w:t>
      </w:r>
      <w:r>
        <w:rPr>
          <w:rStyle w:val="22"/>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22"/>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应填写货物的原产地。</w:t>
      </w:r>
      <w:r>
        <w:rPr>
          <w:rStyle w:val="22"/>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1.3“投标标的”为服务的：</w:t>
      </w:r>
      <w:r>
        <w:rPr>
          <w:rStyle w:val="22"/>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22"/>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应填写服务提供者的所在地。</w:t>
      </w:r>
      <w:r>
        <w:rPr>
          <w:rStyle w:val="22"/>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项下应填写关于服务标准所涵盖的具体项目或内容的说明等。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3、投标文件中涉及</w:t>
      </w:r>
      <w:r>
        <w:rPr>
          <w:rStyle w:val="22"/>
          <w:rFonts w:hint="eastAsia" w:ascii="宋体" w:hAnsi="宋体" w:eastAsia="宋体" w:cs="宋体"/>
          <w:color w:val="auto"/>
          <w:sz w:val="21"/>
          <w:szCs w:val="21"/>
          <w:highlight w:val="none"/>
        </w:rPr>
        <w:t>“投标标的”、“数量”、“规格”、“来源地”</w:t>
      </w:r>
      <w:r>
        <w:rPr>
          <w:rFonts w:hint="eastAsia" w:ascii="宋体" w:hAnsi="宋体" w:eastAsia="宋体" w:cs="宋体"/>
          <w:color w:val="auto"/>
          <w:sz w:val="21"/>
          <w:szCs w:val="21"/>
          <w:highlight w:val="none"/>
        </w:rPr>
        <w:t>的内容若不一致，</w:t>
      </w:r>
      <w:r>
        <w:rPr>
          <w:rStyle w:val="22"/>
          <w:rFonts w:hint="eastAsia" w:ascii="宋体" w:hAnsi="宋体" w:eastAsia="宋体" w:cs="宋体"/>
          <w:color w:val="auto"/>
          <w:sz w:val="21"/>
          <w:szCs w:val="21"/>
          <w:highlight w:val="none"/>
        </w:rPr>
        <w:t>应以本表为准</w:t>
      </w:r>
      <w:r>
        <w:rPr>
          <w:rFonts w:hint="eastAsia" w:ascii="宋体" w:hAnsi="宋体" w:eastAsia="宋体" w:cs="宋体"/>
          <w:color w:val="auto"/>
          <w:sz w:val="21"/>
          <w:szCs w:val="21"/>
          <w:highlight w:val="none"/>
        </w:rPr>
        <w:t>。</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rStyle w:val="22"/>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rStyle w:val="22"/>
          <w:rFonts w:hint="eastAsia" w:ascii="宋体" w:hAnsi="宋体" w:eastAsia="宋体" w:cs="宋体"/>
          <w:color w:val="auto"/>
          <w:sz w:val="21"/>
          <w:szCs w:val="21"/>
          <w:highlight w:val="none"/>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二、技术和服务要求响应表</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w:t>
      </w:r>
    </w:p>
    <w:tbl>
      <w:tblPr>
        <w:tblStyle w:val="1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90"/>
        <w:gridCol w:w="969"/>
        <w:gridCol w:w="2834"/>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55" w:hRule="atLeast"/>
          <w:tblCellSpacing w:w="15" w:type="dxa"/>
        </w:trPr>
        <w:tc>
          <w:tcPr>
            <w:tcW w:w="94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采购包</w:t>
            </w:r>
          </w:p>
        </w:tc>
        <w:tc>
          <w:tcPr>
            <w:tcW w:w="939"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280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技术和服务要求</w:t>
            </w:r>
          </w:p>
        </w:tc>
        <w:tc>
          <w:tcPr>
            <w:tcW w:w="180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投标响应</w:t>
            </w:r>
          </w:p>
        </w:tc>
        <w:tc>
          <w:tcPr>
            <w:tcW w:w="1848"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vMerge w:val="restart"/>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939"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280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0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4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vMerge w:val="continue"/>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939"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280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0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4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939"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280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80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848"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bl>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1、本表应按照下列规定填写：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1.1“技术和服务要求”项下填写的内容应与招标文件第五章“技术和服务要求”的内容保持一致。</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6"/>
        <w:keepNext w:val="0"/>
        <w:keepLines w:val="0"/>
        <w:widowControl/>
        <w:suppressLineNumbers w:val="0"/>
        <w:spacing w:before="75" w:beforeAutospacing="0" w:after="75" w:afterAutospacing="0"/>
        <w:ind w:left="0" w:right="0"/>
        <w:rPr>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Fonts w:hint="default" w:ascii="Calibri" w:hAnsi="Calibri" w:cs="Calibri"/>
          <w:color w:val="auto"/>
          <w:sz w:val="21"/>
          <w:szCs w:val="21"/>
          <w:highlight w:val="none"/>
        </w:rPr>
      </w:pPr>
    </w:p>
    <w:p>
      <w:pPr>
        <w:pStyle w:val="16"/>
        <w:keepNext w:val="0"/>
        <w:keepLines w:val="0"/>
        <w:widowControl/>
        <w:suppressLineNumbers w:val="0"/>
        <w:jc w:val="center"/>
        <w:rPr>
          <w:rStyle w:val="22"/>
          <w:rFonts w:hint="eastAsia" w:ascii="宋体" w:hAnsi="宋体" w:eastAsia="宋体" w:cs="宋体"/>
          <w:color w:val="auto"/>
          <w:sz w:val="21"/>
          <w:szCs w:val="21"/>
          <w:highlight w:val="none"/>
          <w:lang w:eastAsia="zh-CN"/>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三、商务条件响应表</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w:t>
      </w:r>
    </w:p>
    <w:tbl>
      <w:tblPr>
        <w:tblStyle w:val="1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90"/>
        <w:gridCol w:w="1020"/>
        <w:gridCol w:w="2783"/>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4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采购包</w:t>
            </w:r>
          </w:p>
        </w:tc>
        <w:tc>
          <w:tcPr>
            <w:tcW w:w="990"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品目号</w:t>
            </w:r>
          </w:p>
        </w:tc>
        <w:tc>
          <w:tcPr>
            <w:tcW w:w="2753"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商务条件</w:t>
            </w:r>
          </w:p>
        </w:tc>
        <w:tc>
          <w:tcPr>
            <w:tcW w:w="1804"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投标响应</w:t>
            </w:r>
          </w:p>
        </w:tc>
        <w:tc>
          <w:tcPr>
            <w:tcW w:w="1848"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45" w:type="dxa"/>
            <w:vMerge w:val="restart"/>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w:t>
            </w:r>
          </w:p>
        </w:tc>
        <w:tc>
          <w:tcPr>
            <w:tcW w:w="990"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*-1</w:t>
            </w:r>
          </w:p>
        </w:tc>
        <w:tc>
          <w:tcPr>
            <w:tcW w:w="275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0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4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45" w:type="dxa"/>
            <w:vMerge w:val="continue"/>
            <w:shd w:val="clear" w:color="auto" w:fill="auto"/>
            <w:tcMar>
              <w:top w:w="0" w:type="dxa"/>
              <w:left w:w="105" w:type="dxa"/>
              <w:bottom w:w="0" w:type="dxa"/>
              <w:right w:w="105" w:type="dxa"/>
            </w:tcMar>
            <w:vAlign w:val="center"/>
          </w:tcPr>
          <w:p>
            <w:pPr>
              <w:rPr>
                <w:rFonts w:hint="eastAsia" w:ascii="宋体"/>
                <w:color w:val="auto"/>
                <w:sz w:val="24"/>
                <w:szCs w:val="24"/>
                <w:highlight w:val="none"/>
              </w:rPr>
            </w:pPr>
          </w:p>
        </w:tc>
        <w:tc>
          <w:tcPr>
            <w:tcW w:w="990"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2753"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04"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c>
          <w:tcPr>
            <w:tcW w:w="1848" w:type="dxa"/>
            <w:shd w:val="clear" w:color="auto" w:fill="auto"/>
            <w:tcMar>
              <w:top w:w="0" w:type="dxa"/>
              <w:left w:w="105" w:type="dxa"/>
              <w:bottom w:w="0" w:type="dxa"/>
              <w:right w:w="105" w:type="dxa"/>
            </w:tcMar>
            <w:vAlign w:val="top"/>
          </w:tcPr>
          <w:p>
            <w:pPr>
              <w:keepNext w:val="0"/>
              <w:keepLines w:val="0"/>
              <w:widowControl/>
              <w:suppressLineNumbers w:val="0"/>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45" w:type="dxa"/>
            <w:shd w:val="clear" w:color="auto" w:fill="auto"/>
            <w:tcMar>
              <w:top w:w="0" w:type="dxa"/>
              <w:left w:w="105" w:type="dxa"/>
              <w:bottom w:w="0" w:type="dxa"/>
              <w:right w:w="105" w:type="dxa"/>
            </w:tcMar>
            <w:vAlign w:val="center"/>
          </w:tcPr>
          <w:p>
            <w:pPr>
              <w:pStyle w:val="16"/>
              <w:keepNext w:val="0"/>
              <w:keepLines w:val="0"/>
              <w:widowControl/>
              <w:suppressLineNumbers w:val="0"/>
              <w:jc w:val="center"/>
              <w:rPr>
                <w:color w:val="auto"/>
                <w:highlight w:val="none"/>
              </w:rPr>
            </w:pPr>
            <w:r>
              <w:rPr>
                <w:rFonts w:hint="default" w:ascii="Calibri" w:hAnsi="Calibri" w:cs="Calibri"/>
                <w:color w:val="auto"/>
                <w:sz w:val="21"/>
                <w:szCs w:val="21"/>
                <w:highlight w:val="none"/>
              </w:rPr>
              <w:t>…</w:t>
            </w: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2753"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804"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848"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r>
    </w:tbl>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※注意：</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1、本表应按照下列规定填写：</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1.1“商务条件”项下填写的内容应与招标文件第五章“商务条件”的内容保持一致。</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1.2“投标响应”项下应填写具体的响应内容并与“商务条件”项下填写的内容逐项对应；对“商务条件”项下涉及“≥或＞”、“≤或＜”及某个区间值范围内的内容，应填写具体的数值。</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6"/>
        <w:keepNext w:val="0"/>
        <w:keepLines w:val="0"/>
        <w:widowControl/>
        <w:suppressLineNumbers w:val="0"/>
        <w:rPr>
          <w:color w:val="auto"/>
          <w:highlight w:val="none"/>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投标人：</w:t>
      </w:r>
      <w:r>
        <w:rPr>
          <w:rFonts w:hint="eastAsia" w:ascii="宋体" w:hAnsi="宋体" w:eastAsia="宋体" w:cs="宋体"/>
          <w:bCs/>
          <w:color w:val="auto"/>
          <w:sz w:val="24"/>
          <w:szCs w:val="24"/>
          <w:highlight w:val="none"/>
          <w:u w:val="single"/>
        </w:rPr>
        <w:t>（全称并加盖单位公章）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rPr>
        <w:t>投标人代表签字：</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日期：    年   月   日</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w:t>
      </w: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lang w:eastAsia="zh-CN"/>
        </w:rPr>
      </w:pP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rPr>
      </w:pPr>
    </w:p>
    <w:p>
      <w:pPr>
        <w:pStyle w:val="16"/>
        <w:keepNext w:val="0"/>
        <w:keepLines w:val="0"/>
        <w:widowControl/>
        <w:suppressLineNumbers w:val="0"/>
        <w:spacing w:after="240" w:afterAutospacing="0"/>
        <w:rPr>
          <w:rFonts w:hint="eastAsia" w:ascii="宋体" w:hAnsi="宋体" w:eastAsia="宋体" w:cs="宋体"/>
          <w:color w:val="auto"/>
          <w:sz w:val="21"/>
          <w:szCs w:val="21"/>
          <w:highlight w:val="none"/>
        </w:rPr>
      </w:pPr>
    </w:p>
    <w:p>
      <w:pPr>
        <w:pStyle w:val="16"/>
        <w:keepNext w:val="0"/>
        <w:keepLines w:val="0"/>
        <w:widowControl/>
        <w:suppressLineNumbers w:val="0"/>
        <w:jc w:val="center"/>
        <w:rPr>
          <w:rStyle w:val="22"/>
          <w:rFonts w:hint="eastAsia" w:ascii="宋体" w:hAnsi="宋体" w:eastAsia="宋体" w:cs="宋体"/>
          <w:color w:val="auto"/>
          <w:sz w:val="21"/>
          <w:szCs w:val="21"/>
          <w:highlight w:val="none"/>
        </w:rPr>
      </w:pPr>
    </w:p>
    <w:p>
      <w:pPr>
        <w:pStyle w:val="16"/>
        <w:keepNext w:val="0"/>
        <w:keepLines w:val="0"/>
        <w:widowControl/>
        <w:suppressLineNumbers w:val="0"/>
        <w:jc w:val="center"/>
        <w:rPr>
          <w:color w:val="auto"/>
          <w:highlight w:val="none"/>
        </w:rPr>
      </w:pPr>
      <w:r>
        <w:rPr>
          <w:rStyle w:val="22"/>
          <w:rFonts w:hint="eastAsia" w:ascii="宋体" w:hAnsi="宋体" w:eastAsia="宋体" w:cs="宋体"/>
          <w:color w:val="auto"/>
          <w:sz w:val="21"/>
          <w:szCs w:val="21"/>
          <w:highlight w:val="none"/>
        </w:rPr>
        <w:t>四、投标人提交的其他资料（若有）</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jc w:val="center"/>
        <w:rPr>
          <w:color w:val="auto"/>
          <w:highlight w:val="none"/>
        </w:rPr>
      </w:pPr>
      <w:r>
        <w:rPr>
          <w:rFonts w:hint="eastAsia" w:ascii="宋体" w:hAnsi="宋体" w:eastAsia="宋体" w:cs="宋体"/>
          <w:color w:val="auto"/>
          <w:sz w:val="21"/>
          <w:szCs w:val="21"/>
          <w:highlight w:val="none"/>
        </w:rPr>
        <w:t>编制说明</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1、招标文件要求提交的除</w:t>
      </w:r>
      <w:r>
        <w:rPr>
          <w:rStyle w:val="22"/>
          <w:rFonts w:hint="eastAsia" w:ascii="宋体" w:hAnsi="宋体" w:eastAsia="宋体" w:cs="宋体"/>
          <w:color w:val="auto"/>
          <w:sz w:val="21"/>
          <w:szCs w:val="21"/>
          <w:highlight w:val="none"/>
        </w:rPr>
        <w:t>“资格及资信证明部分”、“报价部分”</w:t>
      </w:r>
      <w:r>
        <w:rPr>
          <w:rFonts w:hint="eastAsia" w:ascii="宋体" w:hAnsi="宋体" w:eastAsia="宋体" w:cs="宋体"/>
          <w:color w:val="auto"/>
          <w:sz w:val="21"/>
          <w:szCs w:val="21"/>
          <w:highlight w:val="none"/>
        </w:rPr>
        <w:t>外的其他证明材料或资料加盖投标人的单位公章后应在此项下提交。</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2、招标文件要求投标人提供方案（包括但不限于：组织、实施、技术、服务方案等）的，投标人应在此项下提交。</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3、除招标文件另有规定外，投标人认为需要提交的其他证明材料或资料加盖投标人的单位公章后应在此项下提交。</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rPr>
          <w:color w:val="auto"/>
          <w:highlight w:val="none"/>
        </w:rPr>
      </w:pPr>
      <w:r>
        <w:rPr>
          <w:rFonts w:hint="eastAsia" w:ascii="宋体" w:hAnsi="宋体" w:eastAsia="宋体" w:cs="宋体"/>
          <w:color w:val="auto"/>
          <w:sz w:val="21"/>
          <w:szCs w:val="21"/>
          <w:highlight w:val="none"/>
        </w:rPr>
        <w:t> </w:t>
      </w: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w:t>
      </w: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1"/>
          <w:szCs w:val="21"/>
          <w:highlight w:val="none"/>
        </w:rPr>
      </w:pP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1"/>
          <w:szCs w:val="21"/>
          <w:highlight w:val="none"/>
        </w:rPr>
      </w:pP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1"/>
          <w:szCs w:val="21"/>
          <w:highlight w:val="none"/>
        </w:rPr>
      </w:pPr>
    </w:p>
    <w:p>
      <w:pPr>
        <w:pStyle w:val="16"/>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1"/>
          <w:szCs w:val="21"/>
          <w:highlight w:val="none"/>
        </w:rPr>
      </w:pPr>
    </w:p>
    <w:p>
      <w:pPr>
        <w:pStyle w:val="4"/>
        <w:keepNext w:val="0"/>
        <w:keepLines w:val="0"/>
        <w:widowControl/>
        <w:suppressLineNumbers w:val="0"/>
        <w:rPr>
          <w:color w:val="auto"/>
          <w:highlight w:val="none"/>
        </w:rPr>
      </w:pPr>
      <w:r>
        <w:rPr>
          <w:color w:val="auto"/>
          <w:highlight w:val="none"/>
        </w:rPr>
        <w:t>采购文件相关附件</w:t>
      </w:r>
    </w:p>
    <w:p>
      <w:pPr>
        <w:pStyle w:val="4"/>
        <w:keepNext w:val="0"/>
        <w:keepLines w:val="0"/>
        <w:widowControl/>
        <w:suppressLineNumbers w:val="0"/>
        <w:rPr>
          <w:color w:val="auto"/>
          <w:sz w:val="24"/>
          <w:szCs w:val="24"/>
          <w:highlight w:val="none"/>
          <w:lang w:val="en-US"/>
        </w:rPr>
      </w:pPr>
    </w:p>
    <w:sectPr>
      <w:footerReference r:id="rId3" w:type="default"/>
      <w:pgSz w:w="11906" w:h="16838"/>
      <w:pgMar w:top="1440" w:right="1293" w:bottom="1440" w:left="1406"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Segoe UI Symbol">
    <w:panose1 w:val="020B0502040204020203"/>
    <w:charset w:val="00"/>
    <w:family w:val="auto"/>
    <w:pitch w:val="default"/>
    <w:sig w:usb0="800001E3" w:usb1="1200FFEF" w:usb2="00040000" w:usb3="04000000" w:csb0="0000000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784DC"/>
    <w:multiLevelType w:val="singleLevel"/>
    <w:tmpl w:val="8B1784DC"/>
    <w:lvl w:ilvl="0" w:tentative="0">
      <w:start w:val="1"/>
      <w:numFmt w:val="decimal"/>
      <w:lvlText w:val="(%1)"/>
      <w:lvlJc w:val="left"/>
      <w:pPr>
        <w:tabs>
          <w:tab w:val="left" w:pos="312"/>
        </w:tabs>
      </w:pPr>
    </w:lvl>
  </w:abstractNum>
  <w:abstractNum w:abstractNumId="1">
    <w:nsid w:val="C1C37E19"/>
    <w:multiLevelType w:val="singleLevel"/>
    <w:tmpl w:val="C1C37E19"/>
    <w:lvl w:ilvl="0" w:tentative="0">
      <w:start w:val="1"/>
      <w:numFmt w:val="decimal"/>
      <w:suff w:val="nothing"/>
      <w:lvlText w:val="%1、"/>
      <w:lvlJc w:val="left"/>
    </w:lvl>
  </w:abstractNum>
  <w:abstractNum w:abstractNumId="2">
    <w:nsid w:val="00000002"/>
    <w:multiLevelType w:val="multilevel"/>
    <w:tmpl w:val="00000002"/>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decimal"/>
      <w:lvlText w:val="%1．"/>
      <w:lvlJc w:val="left"/>
      <w:pPr>
        <w:tabs>
          <w:tab w:val="left" w:pos="397"/>
        </w:tabs>
        <w:ind w:left="397" w:hanging="397"/>
      </w:pPr>
      <w:rPr>
        <w:rFonts w:ascii="宋体" w:hAnsi="宋体" w:eastAsia="宋体" w:cs="Times New Roman"/>
        <w:b/>
        <w:i w:val="0"/>
        <w:sz w:val="24"/>
        <w:szCs w:val="24"/>
      </w:rPr>
    </w:lvl>
    <w:lvl w:ilvl="1" w:tentative="0">
      <w:start w:val="1"/>
      <w:numFmt w:val="chineseCountingThousand"/>
      <w:lvlText w:val="(%2)"/>
      <w:lvlJc w:val="left"/>
      <w:pPr>
        <w:tabs>
          <w:tab w:val="left" w:pos="997"/>
        </w:tabs>
        <w:ind w:left="997" w:hanging="397"/>
      </w:pPr>
      <w:rPr>
        <w:rFonts w:hint="eastAsia"/>
        <w:b/>
        <w:i w:val="0"/>
        <w:sz w:val="24"/>
        <w:szCs w:val="24"/>
      </w:rPr>
    </w:lvl>
    <w:lvl w:ilvl="2" w:tentative="0">
      <w:start w:val="1"/>
      <w:numFmt w:val="bullet"/>
      <w:lvlText w:val=""/>
      <w:lvlJc w:val="left"/>
      <w:pPr>
        <w:tabs>
          <w:tab w:val="left" w:pos="1440"/>
        </w:tabs>
        <w:ind w:left="1440" w:hanging="420"/>
      </w:pPr>
      <w:rPr>
        <w:rFonts w:hint="default" w:ascii="Wingdings" w:hAnsi="Wingdings"/>
      </w:rPr>
    </w:lvl>
    <w:lvl w:ilvl="3" w:tentative="0">
      <w:start w:val="1"/>
      <w:numFmt w:val="bullet"/>
      <w:lvlText w:val=""/>
      <w:lvlJc w:val="left"/>
      <w:pPr>
        <w:tabs>
          <w:tab w:val="left" w:pos="1860"/>
        </w:tabs>
        <w:ind w:left="1860" w:hanging="420"/>
      </w:pPr>
      <w:rPr>
        <w:rFonts w:hint="default" w:ascii="Wingdings" w:hAnsi="Wingdings"/>
      </w:rPr>
    </w:lvl>
    <w:lvl w:ilvl="4" w:tentative="0">
      <w:start w:val="1"/>
      <w:numFmt w:val="bullet"/>
      <w:lvlText w:val=""/>
      <w:lvlJc w:val="left"/>
      <w:pPr>
        <w:tabs>
          <w:tab w:val="left" w:pos="2280"/>
        </w:tabs>
        <w:ind w:left="2280" w:hanging="420"/>
      </w:pPr>
      <w:rPr>
        <w:rFonts w:hint="default" w:ascii="Wingdings" w:hAnsi="Wingdings"/>
      </w:rPr>
    </w:lvl>
    <w:lvl w:ilvl="5" w:tentative="0">
      <w:start w:val="1"/>
      <w:numFmt w:val="bullet"/>
      <w:lvlText w:val=""/>
      <w:lvlJc w:val="left"/>
      <w:pPr>
        <w:tabs>
          <w:tab w:val="left" w:pos="2700"/>
        </w:tabs>
        <w:ind w:left="2700" w:hanging="420"/>
      </w:pPr>
      <w:rPr>
        <w:rFonts w:hint="default" w:ascii="Wingdings" w:hAnsi="Wingdings"/>
      </w:rPr>
    </w:lvl>
    <w:lvl w:ilvl="6" w:tentative="0">
      <w:start w:val="1"/>
      <w:numFmt w:val="bullet"/>
      <w:lvlText w:val=""/>
      <w:lvlJc w:val="left"/>
      <w:pPr>
        <w:tabs>
          <w:tab w:val="left" w:pos="3120"/>
        </w:tabs>
        <w:ind w:left="3120" w:hanging="420"/>
      </w:pPr>
      <w:rPr>
        <w:rFonts w:hint="default" w:ascii="Wingdings" w:hAnsi="Wingdings"/>
      </w:rPr>
    </w:lvl>
    <w:lvl w:ilvl="7" w:tentative="0">
      <w:start w:val="1"/>
      <w:numFmt w:val="bullet"/>
      <w:lvlText w:val=""/>
      <w:lvlJc w:val="left"/>
      <w:pPr>
        <w:tabs>
          <w:tab w:val="left" w:pos="3540"/>
        </w:tabs>
        <w:ind w:left="3540" w:hanging="420"/>
      </w:pPr>
      <w:rPr>
        <w:rFonts w:hint="default" w:ascii="Wingdings" w:hAnsi="Wingdings"/>
      </w:rPr>
    </w:lvl>
    <w:lvl w:ilvl="8" w:tentative="0">
      <w:start w:val="1"/>
      <w:numFmt w:val="bullet"/>
      <w:lvlText w:val=""/>
      <w:lvlJc w:val="left"/>
      <w:pPr>
        <w:tabs>
          <w:tab w:val="left" w:pos="3960"/>
        </w:tabs>
        <w:ind w:left="3960" w:hanging="420"/>
      </w:pPr>
      <w:rPr>
        <w:rFonts w:hint="default" w:ascii="Wingdings" w:hAnsi="Wingdings"/>
      </w:rPr>
    </w:lvl>
  </w:abstractNum>
  <w:abstractNum w:abstractNumId="4">
    <w:nsid w:val="00000017"/>
    <w:multiLevelType w:val="multilevel"/>
    <w:tmpl w:val="00000017"/>
    <w:lvl w:ilvl="0" w:tentative="0">
      <w:start w:val="1"/>
      <w:numFmt w:val="chineseCountingThousand"/>
      <w:lvlText w:val="（%1）"/>
      <w:lvlJc w:val="left"/>
      <w:pPr>
        <w:tabs>
          <w:tab w:val="left" w:pos="1387"/>
        </w:tabs>
        <w:ind w:left="1387" w:hanging="907"/>
      </w:pPr>
      <w:rPr>
        <w:rFonts w:hint="eastAsia" w:ascii="楷体_GB2312" w:eastAsia="楷体_GB2312"/>
        <w:b w:val="0"/>
        <w:i w:val="0"/>
        <w:sz w:val="24"/>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0000019"/>
    <w:multiLevelType w:val="multilevel"/>
    <w:tmpl w:val="00000019"/>
    <w:lvl w:ilvl="0" w:tentative="0">
      <w:start w:val="1"/>
      <w:numFmt w:val="chineseCountingThousand"/>
      <w:lvlText w:val="（%1）"/>
      <w:lvlJc w:val="left"/>
      <w:pPr>
        <w:tabs>
          <w:tab w:val="left" w:pos="1387"/>
        </w:tabs>
        <w:ind w:left="1387" w:hanging="907"/>
      </w:pPr>
      <w:rPr>
        <w:rFonts w:hint="eastAsia" w:ascii="楷体_GB2312" w:eastAsia="楷体_GB2312"/>
        <w:b w:val="0"/>
        <w:i w:val="0"/>
        <w:sz w:val="24"/>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54FCB9BD"/>
    <w:multiLevelType w:val="singleLevel"/>
    <w:tmpl w:val="54FCB9BD"/>
    <w:lvl w:ilvl="0" w:tentative="0">
      <w:start w:val="1"/>
      <w:numFmt w:val="chineseCounting"/>
      <w:suff w:val="nothing"/>
      <w:lvlText w:val="%1、"/>
      <w:lvlJc w:val="left"/>
      <w:rPr>
        <w:rFonts w:hint="eastAsia"/>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Mzc0ZjU3YWIwYWM4NzRkOGUyYTIyYzU3YzdmN2MifQ=="/>
  </w:docVars>
  <w:rsids>
    <w:rsidRoot w:val="00000000"/>
    <w:rsid w:val="00320CC5"/>
    <w:rsid w:val="00906786"/>
    <w:rsid w:val="0213766F"/>
    <w:rsid w:val="0382273F"/>
    <w:rsid w:val="063B3638"/>
    <w:rsid w:val="09607298"/>
    <w:rsid w:val="09795E21"/>
    <w:rsid w:val="09AF3C71"/>
    <w:rsid w:val="0A8D0A0D"/>
    <w:rsid w:val="0B770F1C"/>
    <w:rsid w:val="0DA6583B"/>
    <w:rsid w:val="0DD12801"/>
    <w:rsid w:val="0EC93B55"/>
    <w:rsid w:val="0ED53A2A"/>
    <w:rsid w:val="13D74E0E"/>
    <w:rsid w:val="16A253D2"/>
    <w:rsid w:val="18215FE3"/>
    <w:rsid w:val="197C1B46"/>
    <w:rsid w:val="1A6B5E42"/>
    <w:rsid w:val="1B1E0ABF"/>
    <w:rsid w:val="1B3D3E7A"/>
    <w:rsid w:val="1C6E73E8"/>
    <w:rsid w:val="1DAA3978"/>
    <w:rsid w:val="1F5B64F7"/>
    <w:rsid w:val="1FA054B0"/>
    <w:rsid w:val="22603303"/>
    <w:rsid w:val="22AA7DF9"/>
    <w:rsid w:val="243238D2"/>
    <w:rsid w:val="25513D62"/>
    <w:rsid w:val="274F09F5"/>
    <w:rsid w:val="2867192C"/>
    <w:rsid w:val="293E346C"/>
    <w:rsid w:val="29C92F02"/>
    <w:rsid w:val="2AE520DC"/>
    <w:rsid w:val="2B0A0722"/>
    <w:rsid w:val="2B8D56A0"/>
    <w:rsid w:val="2D4542D1"/>
    <w:rsid w:val="2E3A5DFF"/>
    <w:rsid w:val="2F4A46AC"/>
    <w:rsid w:val="2FAF0127"/>
    <w:rsid w:val="301A7E28"/>
    <w:rsid w:val="31A43590"/>
    <w:rsid w:val="3355432F"/>
    <w:rsid w:val="36174130"/>
    <w:rsid w:val="37F012DD"/>
    <w:rsid w:val="391E1FCF"/>
    <w:rsid w:val="39D72754"/>
    <w:rsid w:val="3EFD2F0E"/>
    <w:rsid w:val="3FEB7375"/>
    <w:rsid w:val="42D068DB"/>
    <w:rsid w:val="474B4782"/>
    <w:rsid w:val="48770805"/>
    <w:rsid w:val="4B6C26F9"/>
    <w:rsid w:val="4B9C18A8"/>
    <w:rsid w:val="4C1D06F8"/>
    <w:rsid w:val="4D1D7564"/>
    <w:rsid w:val="4E2B6E44"/>
    <w:rsid w:val="4EC9785F"/>
    <w:rsid w:val="4EFC63A0"/>
    <w:rsid w:val="4FD5108C"/>
    <w:rsid w:val="51F41174"/>
    <w:rsid w:val="536A5AFA"/>
    <w:rsid w:val="54677CA1"/>
    <w:rsid w:val="548A7943"/>
    <w:rsid w:val="554051FA"/>
    <w:rsid w:val="55653A2B"/>
    <w:rsid w:val="55F97365"/>
    <w:rsid w:val="591C5F7E"/>
    <w:rsid w:val="5A871B1D"/>
    <w:rsid w:val="5BA15E9C"/>
    <w:rsid w:val="5E002905"/>
    <w:rsid w:val="5F96192F"/>
    <w:rsid w:val="5FD7780E"/>
    <w:rsid w:val="60D84302"/>
    <w:rsid w:val="633A18AF"/>
    <w:rsid w:val="64A86918"/>
    <w:rsid w:val="65411686"/>
    <w:rsid w:val="655742B4"/>
    <w:rsid w:val="66552412"/>
    <w:rsid w:val="697414BE"/>
    <w:rsid w:val="69B13138"/>
    <w:rsid w:val="6A837DD0"/>
    <w:rsid w:val="6C1F55A1"/>
    <w:rsid w:val="6C733CAF"/>
    <w:rsid w:val="6D062D75"/>
    <w:rsid w:val="6E047E4E"/>
    <w:rsid w:val="71833FC3"/>
    <w:rsid w:val="741A7E11"/>
    <w:rsid w:val="757660AD"/>
    <w:rsid w:val="75AE7B06"/>
    <w:rsid w:val="75B864B0"/>
    <w:rsid w:val="766F54E7"/>
    <w:rsid w:val="78C308CE"/>
    <w:rsid w:val="79AB6836"/>
    <w:rsid w:val="79D7762B"/>
    <w:rsid w:val="7A8B5282"/>
    <w:rsid w:val="7BD5109A"/>
    <w:rsid w:val="7C266648"/>
    <w:rsid w:val="7FDB0118"/>
    <w:rsid w:val="7FE26D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3"/>
    <w:basedOn w:val="1"/>
    <w:next w:val="1"/>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rPr>
  </w:style>
  <w:style w:type="paragraph" w:styleId="5">
    <w:name w:val="heading 4"/>
    <w:basedOn w:val="1"/>
    <w:next w:val="1"/>
    <w:qFormat/>
    <w:uiPriority w:val="9"/>
    <w:pPr>
      <w:spacing w:before="100" w:beforeAutospacing="1" w:after="100" w:afterAutospacing="1"/>
      <w:jc w:val="left"/>
      <w:outlineLvl w:val="3"/>
    </w:pPr>
    <w:rPr>
      <w:rFonts w:hint="eastAsia" w:ascii="宋体" w:hAnsi="宋体" w:eastAsia="宋体" w:cs="宋体"/>
      <w:b/>
      <w:bCs/>
      <w:kern w:val="0"/>
      <w:sz w:val="24"/>
      <w:szCs w:val="24"/>
      <w:lang w:val="en-US" w:eastAsia="zh-CN"/>
    </w:rPr>
  </w:style>
  <w:style w:type="paragraph" w:styleId="6">
    <w:name w:val="heading 5"/>
    <w:basedOn w:val="1"/>
    <w:next w:val="1"/>
    <w:qFormat/>
    <w:uiPriority w:val="9"/>
    <w:pPr>
      <w:spacing w:before="100" w:beforeAutospacing="1" w:after="100" w:afterAutospacing="1"/>
      <w:jc w:val="left"/>
      <w:outlineLvl w:val="4"/>
    </w:pPr>
    <w:rPr>
      <w:rFonts w:hint="eastAsia" w:ascii="宋体" w:hAnsi="宋体" w:eastAsia="宋体" w:cs="宋体"/>
      <w:b/>
      <w:bCs/>
      <w:kern w:val="0"/>
      <w:sz w:val="20"/>
      <w:szCs w:val="20"/>
      <w:lang w:val="en-US" w:eastAsia="zh-CN"/>
    </w:rPr>
  </w:style>
  <w:style w:type="paragraph" w:styleId="7">
    <w:name w:val="heading 6"/>
    <w:basedOn w:val="1"/>
    <w:next w:val="1"/>
    <w:qFormat/>
    <w:uiPriority w:val="9"/>
    <w:pPr>
      <w:spacing w:before="100" w:beforeAutospacing="1" w:after="100" w:afterAutospacing="1"/>
      <w:jc w:val="left"/>
      <w:outlineLvl w:val="5"/>
    </w:pPr>
    <w:rPr>
      <w:rFonts w:hint="eastAsia" w:ascii="宋体" w:hAnsi="宋体" w:eastAsia="宋体" w:cs="宋体"/>
      <w:b/>
      <w:bCs/>
      <w:kern w:val="0"/>
      <w:sz w:val="15"/>
      <w:szCs w:val="15"/>
      <w:lang w:val="en-US" w:eastAsia="zh-CN"/>
    </w:rPr>
  </w:style>
  <w:style w:type="character" w:default="1" w:styleId="21">
    <w:name w:val="Default Paragraph Font"/>
    <w:qFormat/>
    <w:uiPriority w:val="0"/>
  </w:style>
  <w:style w:type="table" w:default="1" w:styleId="19">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8">
    <w:name w:val="Normal Indent"/>
    <w:basedOn w:val="1"/>
    <w:unhideWhenUsed/>
    <w:qFormat/>
    <w:uiPriority w:val="0"/>
    <w:pPr>
      <w:ind w:firstLine="420" w:firstLineChars="200"/>
    </w:pPr>
  </w:style>
  <w:style w:type="paragraph" w:styleId="9">
    <w:name w:val="annotation text"/>
    <w:basedOn w:val="1"/>
    <w:qFormat/>
    <w:uiPriority w:val="0"/>
    <w:pPr>
      <w:jc w:val="left"/>
    </w:pPr>
  </w:style>
  <w:style w:type="paragraph" w:styleId="10">
    <w:name w:val="Body Text Indent"/>
    <w:basedOn w:val="1"/>
    <w:next w:val="11"/>
    <w:qFormat/>
    <w:uiPriority w:val="0"/>
    <w:pPr>
      <w:ind w:left="570"/>
    </w:pPr>
    <w:rPr>
      <w:sz w:val="28"/>
    </w:rPr>
  </w:style>
  <w:style w:type="paragraph" w:styleId="11">
    <w:name w:val="envelope return"/>
    <w:basedOn w:val="1"/>
    <w:qFormat/>
    <w:uiPriority w:val="99"/>
    <w:pPr>
      <w:snapToGrid w:val="0"/>
    </w:pPr>
    <w:rPr>
      <w:rFonts w:ascii="Arial" w:hAnsi="Arial"/>
    </w:rPr>
  </w:style>
  <w:style w:type="paragraph" w:styleId="12">
    <w:name w:val="Plain Text"/>
    <w:basedOn w:val="1"/>
    <w:qFormat/>
    <w:uiPriority w:val="0"/>
    <w:pPr>
      <w:jc w:val="left"/>
    </w:pPr>
    <w:rPr>
      <w:rFonts w:ascii="宋体" w:hAnsi="Courier New"/>
      <w:kern w:val="0"/>
      <w:szCs w:val="20"/>
    </w:rPr>
  </w:style>
  <w:style w:type="paragraph" w:styleId="13">
    <w:name w:val="Body Text Indent 2"/>
    <w:basedOn w:val="1"/>
    <w:qFormat/>
    <w:uiPriority w:val="0"/>
    <w:pPr>
      <w:spacing w:after="120" w:afterAutospacing="0" w:line="480" w:lineRule="auto"/>
      <w:ind w:left="420" w:leftChars="200"/>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6">
    <w:name w:val="Normal (Web)"/>
    <w:basedOn w:val="1"/>
    <w:next w:val="1"/>
    <w:qFormat/>
    <w:uiPriority w:val="99"/>
    <w:pPr>
      <w:spacing w:before="100" w:beforeAutospacing="1" w:after="100" w:afterAutospacing="1"/>
      <w:ind w:left="0" w:right="0"/>
      <w:jc w:val="left"/>
    </w:pPr>
    <w:rPr>
      <w:kern w:val="0"/>
      <w:sz w:val="24"/>
      <w:lang w:val="en-US" w:eastAsia="zh-CN"/>
    </w:rPr>
  </w:style>
  <w:style w:type="paragraph" w:styleId="17">
    <w:name w:val="Title"/>
    <w:basedOn w:val="1"/>
    <w:next w:val="1"/>
    <w:qFormat/>
    <w:uiPriority w:val="10"/>
    <w:pPr>
      <w:jc w:val="center"/>
      <w:outlineLvl w:val="0"/>
    </w:pPr>
    <w:rPr>
      <w:rFonts w:ascii="Arial" w:hAnsi="Arial"/>
      <w:b/>
      <w:bCs/>
      <w:sz w:val="32"/>
      <w:szCs w:val="32"/>
    </w:rPr>
  </w:style>
  <w:style w:type="paragraph" w:styleId="18">
    <w:name w:val="Body Text First Indent 2"/>
    <w:basedOn w:val="10"/>
    <w:next w:val="1"/>
    <w:qFormat/>
    <w:uiPriority w:val="0"/>
    <w:pPr>
      <w:ind w:firstLine="420"/>
    </w:pPr>
  </w:style>
  <w:style w:type="table" w:styleId="20">
    <w:name w:val="Table Grid"/>
    <w:basedOn w:val="19"/>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rPr>
  </w:style>
  <w:style w:type="character" w:styleId="23">
    <w:name w:val="Hyperlink"/>
    <w:basedOn w:val="21"/>
    <w:qFormat/>
    <w:uiPriority w:val="0"/>
    <w:rPr>
      <w:color w:val="0000FF"/>
      <w:u w:val="single"/>
    </w:rPr>
  </w:style>
  <w:style w:type="paragraph" w:customStyle="1" w:styleId="24">
    <w:name w:val=" Char"/>
    <w:basedOn w:val="1"/>
    <w:qFormat/>
    <w:uiPriority w:val="0"/>
  </w:style>
  <w:style w:type="paragraph" w:customStyle="1" w:styleId="25">
    <w:name w:val="Char Char Char1 Char"/>
    <w:basedOn w:val="1"/>
    <w:qFormat/>
    <w:uiPriority w:val="0"/>
    <w:pPr>
      <w:widowControl/>
      <w:spacing w:after="160" w:afterLines="0" w:line="240" w:lineRule="exact"/>
      <w:jc w:val="left"/>
    </w:pPr>
    <w:rPr>
      <w:rFonts w:ascii="Verdana" w:hAnsi="Verdana" w:eastAsia="仿宋_GB2312" w:cs="Verdana"/>
      <w:kern w:val="0"/>
      <w:sz w:val="24"/>
      <w:lang w:eastAsia="en-US"/>
    </w:rPr>
  </w:style>
  <w:style w:type="character" w:customStyle="1" w:styleId="26">
    <w:name w:val="NormalCharacter"/>
    <w:link w:val="27"/>
    <w:qFormat/>
    <w:uiPriority w:val="0"/>
    <w:rPr>
      <w:rFonts w:ascii="Times New Roman" w:hAnsi="Times New Roman" w:eastAsia="宋体" w:cs="Times New Roman"/>
      <w:kern w:val="2"/>
      <w:sz w:val="21"/>
      <w:szCs w:val="24"/>
      <w:lang w:val="en-US" w:eastAsia="zh-CN" w:bidi="ar-SA"/>
    </w:rPr>
  </w:style>
  <w:style w:type="paragraph" w:customStyle="1" w:styleId="27">
    <w:name w:val="UserStyle_9"/>
    <w:basedOn w:val="1"/>
    <w:link w:val="26"/>
    <w:qFormat/>
    <w:uiPriority w:val="0"/>
    <w:rPr>
      <w:rFonts w:ascii="Tahoma" w:hAnsi="Tahoma"/>
      <w:sz w:val="24"/>
      <w:szCs w:val="20"/>
    </w:rPr>
  </w:style>
  <w:style w:type="paragraph" w:customStyle="1" w:styleId="28">
    <w:name w:val="Fließtext"/>
    <w:basedOn w:val="1"/>
    <w:qFormat/>
    <w:uiPriority w:val="99"/>
    <w:pPr>
      <w:overflowPunct w:val="0"/>
      <w:autoSpaceDE w:val="0"/>
      <w:autoSpaceDN w:val="0"/>
      <w:adjustRightInd w:val="0"/>
      <w:textAlignment w:val="baseline"/>
    </w:pPr>
    <w:rPr>
      <w:kern w:val="28"/>
    </w:rPr>
  </w:style>
  <w:style w:type="paragraph" w:customStyle="1" w:styleId="29">
    <w:name w:val="正文1"/>
    <w:basedOn w:val="1"/>
    <w:qFormat/>
    <w:uiPriority w:val="0"/>
    <w:pPr>
      <w:tabs>
        <w:tab w:val="left" w:pos="420"/>
      </w:tabs>
      <w:spacing w:line="360" w:lineRule="auto"/>
      <w:ind w:firstLine="482" w:firstLineChars="200"/>
      <w:jc w:val="left"/>
    </w:pPr>
    <w:rPr>
      <w:rFonts w:ascii="宋体" w:hAnsi="宋体"/>
      <w:b/>
      <w:sz w:val="24"/>
    </w:rPr>
  </w:style>
  <w:style w:type="paragraph" w:customStyle="1" w:styleId="30">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79</Pages>
  <Words>46181</Words>
  <Characters>47353</Characters>
  <Paragraphs>2667</Paragraphs>
  <TotalTime>0</TotalTime>
  <ScaleCrop>false</ScaleCrop>
  <LinksUpToDate>false</LinksUpToDate>
  <CharactersWithSpaces>49769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CLZ</cp:lastModifiedBy>
  <cp:lastPrinted>2022-08-31T08:05:00Z</cp:lastPrinted>
  <dcterms:modified xsi:type="dcterms:W3CDTF">2023-10-07T02:23:53Z</dcterms:modified>
  <dc:title>福建省政府采购</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01BFE756F5AB4DFA9201A65008428B9D_13</vt:lpwstr>
  </property>
</Properties>
</file>