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项目技术和服务要求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0" w:lineRule="atLeast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bookmarkStart w:id="0" w:name="_Toc361837283"/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一、</w:t>
      </w:r>
      <w:bookmarkEnd w:id="0"/>
      <w:bookmarkStart w:id="1" w:name="_Toc175644389"/>
      <w:bookmarkStart w:id="2" w:name="_Toc101951258"/>
      <w:bookmarkStart w:id="3" w:name="_Toc317233490"/>
      <w:bookmarkStart w:id="4" w:name="_Toc266087468"/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技术和服务要求</w:t>
      </w:r>
    </w:p>
    <w:bookmarkEnd w:id="1"/>
    <w:bookmarkEnd w:id="2"/>
    <w:bookmarkEnd w:id="3"/>
    <w:bookmarkEnd w:id="4"/>
    <w:tbl>
      <w:tblPr>
        <w:tblStyle w:val="4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85"/>
        <w:gridCol w:w="4380"/>
        <w:gridCol w:w="990"/>
        <w:gridCol w:w="108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湄洲岛夜景工程（下山深布湾段）设备清单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品牌（型号）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配置及性能说明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防水萤火虫激光灯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输入电源:AC90-240V,50-60Hz±10%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额定功率：23W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激光功率：2W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激光调制：模拟调制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激光器类别：纯固态激光器 ，稳定性高，寿命长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激光波长： 红光638±5nm,绿光 520±5nm,蓝光450±5nm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模式： DMX512/⾃⾛/主从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工作环境：室内外（零下30~零上40度）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防护级别:IP66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LED防水帕灯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输入电压：AC90-245V，50/60Hz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灯珠规格：超亮度LED，54颗×3W(R12，G18，B18，W6)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色温：3200K-7800k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灯珠寿命：60000小时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频闪/调光：0-100%无级线性调节，16BIT的调光精度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出光角度：15°，25°，45°（出光角度可供选择）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控制方式：单机、主/从、声控，自走效果、自动淡入淡出效果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通道：8CH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功能：RGBW(红、绿、蓝、白、)线性混色，内置宏功能，混色均匀，性能稳定；灯具采用具有PFC功率，因数校正的开关电源，PF﹥0.99效率高达90%，真正绿色环保。LED采用静态恒流驱动方式，恒流精度高，无闪烁。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外壳：铸铝外壳，灯体黑色及白色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防护等级：IP65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应用环境：-20~+40℃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散热：无风扇，自然散热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灯体尺寸：340*230*295mm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灯体重量：8kg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DMX信号处理器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内置ARM 32位处理器，高性能360MHz CPU，轻松处理各种应用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两个10/100M自适应高速以太网接口，支持多设备级联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一个802.11a/g  2.4G 无线WIFI接口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两个DMX输入输出口，2048通道，DMX512（1990）接口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支持面板快速ARTNET1-255任意空间设置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设备支持高速高精度DMX及ARTNET两种信号记录模式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支持大容量SD卡及U盘数据记录存储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支持网络远程指令控制播放灯光表演文件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支持一键IO转换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支持一键主机客户机转换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支持自动DHCP及静态IP设置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 AC110V ～240V, 50～60Hz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数码信号类型：DMX512，以及采用 RS-485 接口传输的数码信号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路信号输入，1 路直通信号输出（信号输入与直通信号之间有经电气隔离）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8路经电气隔离的信号分配输出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接口类型：RS-48S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380V接触式继电器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时间控制器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自定义时间开关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恒温户外机柜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恒温恒湿防雷防风户外机柜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工业转接配件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线材：信号线、网线、水晶头、串口头等辅材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灯杆立杆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定制4~5米高度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阻燃电缆线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国标、软铜丝电缆 RVV-3×2.5MM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灯光控制线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RVVP2.05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PVC穿线管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1、国标 、 </w:t>
            </w:r>
            <w:r>
              <w:rPr>
                <w:rStyle w:val="7"/>
                <w:rFonts w:eastAsia="宋体"/>
                <w:lang w:val="en-US" w:eastAsia="zh-CN" w:bidi="ar"/>
              </w:rPr>
              <w:t>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25、白色。2、PVC穿线管辅材，适配。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塑料软管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、</w:t>
            </w:r>
            <w:r>
              <w:rPr>
                <w:rStyle w:val="7"/>
                <w:rFonts w:eastAsia="宋体"/>
                <w:lang w:val="en-US" w:eastAsia="zh-CN" w:bidi="ar"/>
              </w:rPr>
              <w:t>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  <w:r>
              <w:rPr>
                <w:rStyle w:val="8"/>
                <w:lang w:val="en-US" w:eastAsia="zh-CN" w:bidi="ar"/>
              </w:rPr>
              <w:t>黑色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Style w:val="6"/>
          <w:rFonts w:hint="eastAsia" w:ascii="宋体" w:hAnsi="宋体" w:eastAsia="宋体" w:cs="宋体"/>
          <w:b/>
          <w:bCs w:val="0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Style w:val="6"/>
          <w:rFonts w:hint="eastAsia" w:ascii="宋体" w:hAnsi="宋体" w:eastAsia="宋体" w:cs="宋体"/>
          <w:b/>
          <w:bCs w:val="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spacing w:val="0"/>
          <w:sz w:val="24"/>
          <w:szCs w:val="24"/>
          <w:lang w:val="en-US" w:eastAsia="zh-CN"/>
        </w:rPr>
        <w:t>备注：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Style w:val="6"/>
          <w:rFonts w:hint="eastAsia" w:ascii="宋体" w:hAnsi="宋体" w:eastAsia="宋体" w:cs="宋体"/>
          <w:b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1、本次报价为货物送达采购人指定地点，经采购人验收合格并交货完毕所有可能发生的费用，包括人工费、施工机械使用费、材料费、其他(运杂费、质检费、安装费、缺陷修复费、差旅 、保险费，以及合同明示或暗示的风险、责任和义务等)、安装、产品检验检测、验收、操作人员培训、税金、以及售后服务等费用。还要考虑到合同中可能出现的索赔和变更。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2、保修期：自项目验收之日起1年，即自产品日（以用户收到产品日为准）起，若所购买的产品出现质量等问题（人为损坏、擅自拆解组装和不可抗力因素除外），中标单位将进行免费维修。免费保修期自货物安装验收合格之日起，保修期限为 1 年，1 年内免费维护维修。（正常免费保修是指在正常运行条件下，出现产品损坏或故障，中标单位在维修时不收取任何费用。）。服热线时间：服务24小时上门服务，4小时做出反应，一般故障48小时解决问题，重大故障72小时内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TU1MzRjMmEyZmQ3OWE0ZmI0ODZmMTBlMzMyMGMifQ=="/>
  </w:docVars>
  <w:rsids>
    <w:rsidRoot w:val="4BC17FDC"/>
    <w:rsid w:val="4BC1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2022-11-30T09:11:00Z</dcterms:created>
  <dc:creator>卷卷</dc:creator>
  <cp:lastModifiedBy>卷卷</cp:lastModifiedBy>
  <dcterms:modified xsi:type="dcterms:W3CDTF">2022-11-30T09:11:51Z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E6B03554C57541008F585ABFD879B304</vt:lpwstr>
  </property>
</Properties>
</file>