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0" w:lineRule="atLeast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附件1：</w:t>
      </w:r>
      <w:r>
        <w:rPr>
          <w:rFonts w:hint="eastAsia" w:ascii="宋体" w:hAnsi="宋体" w:eastAsia="宋体" w:cs="宋体"/>
          <w:b/>
          <w:bCs/>
          <w:color w:val="000000"/>
          <w:kern w:val="2"/>
          <w:sz w:val="32"/>
          <w:szCs w:val="32"/>
          <w:lang w:val="en-US" w:eastAsia="zh-CN" w:bidi="ar-SA"/>
        </w:rPr>
        <w:t>项目技术和服务要求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0" w:lineRule="atLeast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</w:pPr>
      <w:bookmarkStart w:id="0" w:name="_Toc361837283"/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>一、</w:t>
      </w:r>
      <w:bookmarkEnd w:id="0"/>
      <w:bookmarkStart w:id="1" w:name="_Toc175644389"/>
      <w:bookmarkStart w:id="2" w:name="_Toc101951258"/>
      <w:bookmarkStart w:id="3" w:name="_Toc317233490"/>
      <w:bookmarkStart w:id="4" w:name="_Toc266087468"/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>技术和服务要求</w:t>
      </w:r>
    </w:p>
    <w:bookmarkEnd w:id="1"/>
    <w:bookmarkEnd w:id="2"/>
    <w:bookmarkEnd w:id="3"/>
    <w:bookmarkEnd w:id="4"/>
    <w:tbl>
      <w:tblPr>
        <w:tblStyle w:val="4"/>
        <w:tblW w:w="96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485"/>
        <w:gridCol w:w="4380"/>
        <w:gridCol w:w="990"/>
        <w:gridCol w:w="1080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6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湄洲岛夜景工程（下山深布湾段）设备清单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品牌（型号）</w:t>
            </w:r>
          </w:p>
        </w:tc>
        <w:tc>
          <w:tcPr>
            <w:tcW w:w="4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配置及性能说明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5" w:name="_GoBack"/>
            <w:bookmarkEnd w:id="5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防水萤火虫激光灯</w:t>
            </w:r>
          </w:p>
        </w:tc>
        <w:tc>
          <w:tcPr>
            <w:tcW w:w="4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输入电源:AC90-240V,50-60Hz±10%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额定功率：23W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激光功率：2W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激光调制：模拟调制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激光器类别：纯固态激光器 ，稳定性高，寿命长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激光波长： 红光638±5nm,绿光 520±5nm,蓝光450±5nm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模式： DMX512/⾃⾛/主从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工作环境：室内外（零下30~零上40度）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防护级别:IP66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LED防水帕灯</w:t>
            </w:r>
          </w:p>
        </w:tc>
        <w:tc>
          <w:tcPr>
            <w:tcW w:w="4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输入电压：AC90-245V，50/60Hz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额定功率：200W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灯珠规格：超亮度LED，54颗×3W(R12，G18，B18，W6)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色温：3200K-7800k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灯珠寿命：60000小时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频闪/调光：0-100%无级线性调节，16BIT的调光精度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出光角度：15°，25°，45°（出光角度可供选择）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控制方式：单机、主/从、声控，自走效果、自动淡入淡出效果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通道：8CH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其他功能：RGBW(红、绿、蓝、白、)线性混色，内置宏功能，混色均匀，性能稳定；灯具采用具有PFC功率，因数校正的开关电源，PF﹥0.99效率高达90%，真正绿色环保。LED采用静态恒流驱动方式，恒流精度高，无闪烁。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外壳：铸铝外壳，灯体黑色及白色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防护等级：IP65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应用环境：-20~+40℃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散热：无风扇，自然散热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灯体尺寸：340*230*295mm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灯体重量：8kg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DMX信号处理器</w:t>
            </w:r>
          </w:p>
        </w:tc>
        <w:tc>
          <w:tcPr>
            <w:tcW w:w="4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内置ARM 32位处理器，高性能360MHz CPU，轻松处理各种应用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两个10/100M自适应高速以太网接口，支持多设备级联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一个802.11a/g  2.4G 无线WIFI接口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两个DMX输入输出口，2048通道，DMX512（1990）接口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支持面板快速ARTNET1-255任意空间设置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设备支持高速高精度DMX及ARTNET两种信号记录模式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支持大容量SD卡及U盘数据记录存储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支持网络远程指令控制播放灯光表演文件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支持一键IO转换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支持一键主机客户机转换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支持自动DHCP及静态IP设置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信号放大器</w:t>
            </w:r>
          </w:p>
        </w:tc>
        <w:tc>
          <w:tcPr>
            <w:tcW w:w="4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额定电压: AC110V ～240V, 50～60Hz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数码信号类型：DMX512，以及采用 RS-485 接口传输的数码信号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路信号输入，1 路直通信号输出（信号输入与直通信号之间有经电气隔离）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8路经电气隔离的信号分配输出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接口类型：RS-48S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交流接触器</w:t>
            </w:r>
          </w:p>
        </w:tc>
        <w:tc>
          <w:tcPr>
            <w:tcW w:w="4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380V接触式继电器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时间控制器</w:t>
            </w:r>
          </w:p>
        </w:tc>
        <w:tc>
          <w:tcPr>
            <w:tcW w:w="4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自定义时间开关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恒温户外机柜</w:t>
            </w:r>
          </w:p>
        </w:tc>
        <w:tc>
          <w:tcPr>
            <w:tcW w:w="4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恒温恒湿防雷防风户外机柜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工业转接配件</w:t>
            </w:r>
          </w:p>
        </w:tc>
        <w:tc>
          <w:tcPr>
            <w:tcW w:w="4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线材：信号线、网线、水晶头、串口头等辅材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灯杆立杆</w:t>
            </w:r>
          </w:p>
        </w:tc>
        <w:tc>
          <w:tcPr>
            <w:tcW w:w="4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定制4~5米高度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阻燃电缆线</w:t>
            </w:r>
          </w:p>
        </w:tc>
        <w:tc>
          <w:tcPr>
            <w:tcW w:w="4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国标、软铜丝电缆 RVV-3×2.5MM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米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灯光控制线</w:t>
            </w:r>
          </w:p>
        </w:tc>
        <w:tc>
          <w:tcPr>
            <w:tcW w:w="4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RVVP2.05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米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PVC穿线管</w:t>
            </w:r>
          </w:p>
        </w:tc>
        <w:tc>
          <w:tcPr>
            <w:tcW w:w="4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1、国标 、 </w:t>
            </w:r>
            <w:r>
              <w:rPr>
                <w:rStyle w:val="7"/>
                <w:rFonts w:eastAsia="宋体"/>
                <w:lang w:val="en-US" w:eastAsia="zh-CN" w:bidi="ar"/>
              </w:rPr>
              <w:t>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25、白色。2、PVC穿线管辅材，适配。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米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塑料软管</w:t>
            </w:r>
          </w:p>
        </w:tc>
        <w:tc>
          <w:tcPr>
            <w:tcW w:w="4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国标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、</w:t>
            </w:r>
            <w:r>
              <w:rPr>
                <w:rStyle w:val="7"/>
                <w:rFonts w:eastAsia="宋体"/>
                <w:lang w:val="en-US" w:eastAsia="zh-CN" w:bidi="ar"/>
              </w:rPr>
              <w:t>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 </w:t>
            </w:r>
            <w:r>
              <w:rPr>
                <w:rStyle w:val="8"/>
                <w:lang w:val="en-US" w:eastAsia="zh-CN" w:bidi="ar"/>
              </w:rPr>
              <w:t>黑色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米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textAlignment w:val="auto"/>
        <w:rPr>
          <w:rStyle w:val="6"/>
          <w:rFonts w:hint="eastAsia" w:ascii="宋体" w:hAnsi="宋体" w:eastAsia="宋体" w:cs="宋体"/>
          <w:b/>
          <w:bCs w:val="0"/>
          <w:spacing w:val="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textAlignment w:val="auto"/>
        <w:rPr>
          <w:rStyle w:val="6"/>
          <w:rFonts w:hint="eastAsia" w:ascii="宋体" w:hAnsi="宋体" w:eastAsia="宋体" w:cs="宋体"/>
          <w:b/>
          <w:bCs w:val="0"/>
          <w:spacing w:val="0"/>
          <w:sz w:val="24"/>
          <w:szCs w:val="24"/>
          <w:lang w:val="en-US" w:eastAsia="zh-CN"/>
        </w:rPr>
      </w:pPr>
      <w:r>
        <w:rPr>
          <w:rStyle w:val="6"/>
          <w:rFonts w:hint="eastAsia" w:ascii="宋体" w:hAnsi="宋体" w:eastAsia="宋体" w:cs="宋体"/>
          <w:b/>
          <w:bCs w:val="0"/>
          <w:spacing w:val="0"/>
          <w:sz w:val="24"/>
          <w:szCs w:val="24"/>
          <w:lang w:val="en-US" w:eastAsia="zh-CN"/>
        </w:rPr>
        <w:t>备注：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textAlignment w:val="auto"/>
        <w:rPr>
          <w:rStyle w:val="6"/>
          <w:rFonts w:hint="eastAsia" w:ascii="宋体" w:hAnsi="宋体" w:eastAsia="宋体" w:cs="宋体"/>
          <w:b/>
          <w:bCs w:val="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1、本次报价为货物送达采购人指定地点，经采购人验收合格并交货完毕所有可能发生的费用，包括人工费、施工机械使用费、材料费、其他(运杂费、质检费、安装费、缺陷修复费、差旅 、保险费，以及合同明示或暗示的风险、责任和义务等)、安装、产品检验检测、验收、操作人员培训、税金、以及售后服务等费用。还要考虑到合同中可能出现的索赔和变更。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2、保修期：自项目验收之日起1年，即自产品日（以用户收到产品日为准）起，若所购买的产品出现质量等问题（人为损坏、擅自拆解组装和不可抗力因素除外），中标单位将进行免费维修。免费保修期自货物安装验收合格之日起，保修期限为 1 年，1 年内免费维护维修。（正常免费保修是指在正常运行条件下，出现产品损坏或故障，中标单位在维修时不收取任何费用。）。服热线时间：服务24小时上门服务，4小时做出反应，一般故障48小时解决问题，重大故障72小时内排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ZTU1MzRjMmEyZmQ3OWE0ZmI0ODZmMTBlMzMyMGMifQ=="/>
  </w:docVars>
  <w:rsids>
    <w:rsidRoot w:val="4BC17FDC"/>
    <w:rsid w:val="4BC1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51"/>
    <w:basedOn w:val="5"/>
    <w:qFormat/>
    <w:uiPriority w:val="0"/>
    <w:rPr>
      <w:rFonts w:ascii="Arial" w:hAnsi="Arial" w:cs="Arial"/>
      <w:color w:val="000000"/>
      <w:sz w:val="18"/>
      <w:szCs w:val="18"/>
      <w:u w:val="none"/>
    </w:rPr>
  </w:style>
  <w:style w:type="character" w:customStyle="1" w:styleId="8">
    <w:name w:val="font6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2022-11-30T09:11:00Z</dcterms:created>
  <dc:creator>卷卷</dc:creator>
  <cp:lastModifiedBy>卷卷</cp:lastModifiedBy>
  <dcterms:modified xsi:type="dcterms:W3CDTF">2022-11-30T09:11:51Z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E6B03554C57541008F585ABFD879B304</vt:lpwstr>
  </property>
</Properties>
</file>