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900"/>
          <w:tab w:val="left" w:pos="1100"/>
        </w:tabs>
        <w:kinsoku/>
        <w:wordWrap/>
        <w:overflowPunct/>
        <w:topLinePunct w:val="0"/>
        <w:autoSpaceDE/>
        <w:autoSpaceDN/>
        <w:bidi w:val="0"/>
        <w:adjustRightInd/>
        <w:spacing w:beforeAutospacing="0" w:afterAutospacing="0" w:line="240" w:lineRule="auto"/>
        <w:ind w:left="0" w:leftChars="0"/>
        <w:jc w:val="left"/>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附件2：</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项目的内容及要求</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Theme="majorEastAsia" w:hAnsiTheme="majorEastAsia" w:eastAsiaTheme="majorEastAsia" w:cstheme="majorEastAsia"/>
          <w:b/>
          <w:bCs w:val="0"/>
          <w:color w:val="000000" w:themeColor="text1"/>
          <w:sz w:val="44"/>
          <w:szCs w:val="44"/>
          <w14:textFill>
            <w14:solidFill>
              <w14:schemeClr w14:val="tx1"/>
            </w14:solidFill>
          </w14:textFill>
        </w:rPr>
      </w:pP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color w:val="000000" w:themeColor="text1"/>
          <w:sz w:val="44"/>
          <w:szCs w:val="44"/>
          <w14:textFill>
            <w14:solidFill>
              <w14:schemeClr w14:val="tx1"/>
            </w14:solidFill>
          </w14:textFill>
        </w:rPr>
        <w:t>湄洲岛3D水幕艺术秀</w:t>
      </w:r>
      <w:r>
        <w:rPr>
          <w:rFonts w:hint="eastAsia" w:asciiTheme="majorEastAsia" w:hAnsiTheme="majorEastAsia" w:eastAsiaTheme="majorEastAsia" w:cstheme="majorEastAsia"/>
          <w:b/>
          <w:bCs w:val="0"/>
          <w:color w:val="000000" w:themeColor="text1"/>
          <w:sz w:val="44"/>
          <w:szCs w:val="44"/>
          <w:lang w:eastAsia="zh-CN"/>
          <w14:textFill>
            <w14:solidFill>
              <w14:schemeClr w14:val="tx1"/>
            </w14:solidFill>
          </w14:textFill>
        </w:rPr>
        <w:t>维护项目</w:t>
      </w:r>
      <w:r>
        <w:rPr>
          <w:rStyle w:val="7"/>
          <w:rFonts w:hint="eastAsia" w:asciiTheme="majorEastAsia" w:hAnsiTheme="majorEastAsia" w:eastAsiaTheme="majorEastAsia" w:cstheme="majorEastAsia"/>
          <w:b/>
          <w:bCs w:val="0"/>
          <w:sz w:val="44"/>
          <w:szCs w:val="44"/>
        </w:rPr>
        <w:t>内容及要求</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一、（根据本项目实际情况，填写“采购标的”或“项目概况”）</w:t>
      </w:r>
    </w:p>
    <w:tbl>
      <w:tblPr>
        <w:tblStyle w:val="5"/>
        <w:tblW w:w="8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2938"/>
        <w:gridCol w:w="1586"/>
        <w:gridCol w:w="1508"/>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pageBreakBefore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合同包</w:t>
            </w:r>
          </w:p>
        </w:tc>
        <w:tc>
          <w:tcPr>
            <w:tcW w:w="2938" w:type="dxa"/>
            <w:vAlign w:val="center"/>
          </w:tcPr>
          <w:p>
            <w:pPr>
              <w:keepNext w:val="0"/>
              <w:keepLines w:val="0"/>
              <w:pageBreakBefore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服务名称</w:t>
            </w:r>
          </w:p>
        </w:tc>
        <w:tc>
          <w:tcPr>
            <w:tcW w:w="1586" w:type="dxa"/>
            <w:vAlign w:val="center"/>
          </w:tcPr>
          <w:p>
            <w:pPr>
              <w:keepNext w:val="0"/>
              <w:keepLines w:val="0"/>
              <w:pageBreakBefore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14:textFill>
                  <w14:solidFill>
                    <w14:schemeClr w14:val="tx1"/>
                  </w14:solidFill>
                </w14:textFill>
              </w:rPr>
              <w:t>预算金额（元）</w:t>
            </w:r>
          </w:p>
        </w:tc>
        <w:tc>
          <w:tcPr>
            <w:tcW w:w="1508" w:type="dxa"/>
            <w:vAlign w:val="center"/>
          </w:tcPr>
          <w:p>
            <w:pPr>
              <w:keepNext w:val="0"/>
              <w:keepLines w:val="0"/>
              <w:pageBreakBefore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服务</w:t>
            </w:r>
          </w:p>
          <w:p>
            <w:pPr>
              <w:keepNext w:val="0"/>
              <w:keepLines w:val="0"/>
              <w:pageBreakBefore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技术服务要求</w:t>
            </w:r>
          </w:p>
        </w:tc>
        <w:tc>
          <w:tcPr>
            <w:tcW w:w="2239" w:type="dxa"/>
            <w:vAlign w:val="center"/>
          </w:tcPr>
          <w:p>
            <w:pPr>
              <w:keepNext w:val="0"/>
              <w:keepLines w:val="0"/>
              <w:pageBreakBefore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服务</w:t>
            </w:r>
          </w:p>
          <w:p>
            <w:pPr>
              <w:keepNext w:val="0"/>
              <w:keepLines w:val="0"/>
              <w:pageBreakBefore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pageBreakBefore w:val="0"/>
              <w:widowControl/>
              <w:tabs>
                <w:tab w:val="left" w:pos="900"/>
                <w:tab w:val="left" w:pos="1100"/>
              </w:tabs>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1</w:t>
            </w:r>
          </w:p>
        </w:tc>
        <w:tc>
          <w:tcPr>
            <w:tcW w:w="2938" w:type="dxa"/>
            <w:vAlign w:val="center"/>
          </w:tcPr>
          <w:p>
            <w:pPr>
              <w:keepNext w:val="0"/>
              <w:keepLines w:val="0"/>
              <w:pageBreakBefore w:val="0"/>
              <w:widowControl/>
              <w:tabs>
                <w:tab w:val="left" w:pos="900"/>
                <w:tab w:val="left" w:pos="1100"/>
              </w:tabs>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莆田市湄洲岛湖石淉生态公园管理有限公司水幕秀维护项目</w:t>
            </w:r>
          </w:p>
        </w:tc>
        <w:tc>
          <w:tcPr>
            <w:tcW w:w="1586" w:type="dxa"/>
            <w:vAlign w:val="center"/>
          </w:tcPr>
          <w:p>
            <w:pPr>
              <w:keepNext w:val="0"/>
              <w:keepLines w:val="0"/>
              <w:pageBreakBefore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p>
        </w:tc>
        <w:tc>
          <w:tcPr>
            <w:tcW w:w="1508" w:type="dxa"/>
            <w:vAlign w:val="center"/>
          </w:tcPr>
          <w:p>
            <w:pPr>
              <w:keepNext w:val="0"/>
              <w:keepLines w:val="0"/>
              <w:pageBreakBefore w:val="0"/>
              <w:widowControl/>
              <w:tabs>
                <w:tab w:val="left" w:pos="900"/>
                <w:tab w:val="left" w:pos="1100"/>
              </w:tabs>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w:t>
            </w:r>
            <w:r>
              <w:rPr>
                <w:rFonts w:hint="eastAsia" w:ascii="仿宋" w:hAnsi="仿宋" w:eastAsia="仿宋" w:cs="仿宋"/>
                <w:color w:val="000000" w:themeColor="text1"/>
                <w:sz w:val="32"/>
                <w:szCs w:val="32"/>
                <w:u w:val="none"/>
                <w14:textFill>
                  <w14:solidFill>
                    <w14:schemeClr w14:val="tx1"/>
                  </w14:solidFill>
                </w14:textFill>
              </w:rPr>
              <w:t>服务期</w:t>
            </w:r>
            <w:r>
              <w:rPr>
                <w:rFonts w:hint="eastAsia" w:ascii="仿宋" w:hAnsi="仿宋" w:eastAsia="仿宋" w:cs="仿宋"/>
                <w:color w:val="000000" w:themeColor="text1"/>
                <w:sz w:val="32"/>
                <w:szCs w:val="32"/>
                <w:u w:val="none"/>
                <w:lang w:val="en-US" w:eastAsia="zh-CN"/>
                <w14:textFill>
                  <w14:solidFill>
                    <w14:schemeClr w14:val="tx1"/>
                  </w14:solidFill>
                </w14:textFill>
              </w:rPr>
              <w:t>3年）</w:t>
            </w:r>
          </w:p>
          <w:p>
            <w:pPr>
              <w:keepNext w:val="0"/>
              <w:keepLines w:val="0"/>
              <w:pageBreakBefore w:val="0"/>
              <w:widowControl/>
              <w:tabs>
                <w:tab w:val="left" w:pos="900"/>
                <w:tab w:val="left" w:pos="1100"/>
              </w:tabs>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详见附件</w:t>
            </w:r>
          </w:p>
          <w:p>
            <w:pPr>
              <w:keepNext w:val="0"/>
              <w:keepLines w:val="0"/>
              <w:pageBreakBefore w:val="0"/>
              <w:widowControl/>
              <w:tabs>
                <w:tab w:val="left" w:pos="900"/>
                <w:tab w:val="left" w:pos="1100"/>
              </w:tabs>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p>
        </w:tc>
        <w:tc>
          <w:tcPr>
            <w:tcW w:w="2239" w:type="dxa"/>
            <w:vAlign w:val="center"/>
          </w:tcPr>
          <w:p>
            <w:pPr>
              <w:keepNext w:val="0"/>
              <w:keepLines w:val="0"/>
              <w:pageBreakBefore w:val="0"/>
              <w:widowControl/>
              <w:tabs>
                <w:tab w:val="left" w:pos="900"/>
                <w:tab w:val="left" w:pos="1100"/>
              </w:tabs>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招标人指定地点（以合同签订的具体地址为准）</w:t>
            </w:r>
          </w:p>
        </w:tc>
      </w:tr>
    </w:tbl>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firstLine="640" w:firstLineChars="200"/>
        <w:textAlignment w:val="auto"/>
        <w:rPr>
          <w:rStyle w:val="7"/>
          <w:rFonts w:hint="eastAsia" w:ascii="黑体" w:hAnsi="黑体" w:eastAsia="黑体" w:cs="黑体"/>
          <w:b w:val="0"/>
          <w:bCs w:val="0"/>
          <w:sz w:val="32"/>
          <w:szCs w:val="32"/>
        </w:rPr>
      </w:pPr>
      <w:r>
        <w:rPr>
          <w:rFonts w:hint="eastAsia" w:ascii="黑体" w:hAnsi="黑体" w:eastAsia="黑体" w:cs="黑体"/>
          <w:b w:val="0"/>
          <w:bCs w:val="0"/>
          <w:sz w:val="32"/>
          <w:szCs w:val="32"/>
        </w:rPr>
        <w:t>二、技术和服务要求</w:t>
      </w:r>
      <w:r>
        <w:rPr>
          <w:rStyle w:val="7"/>
          <w:rFonts w:hint="eastAsia" w:ascii="黑体" w:hAnsi="黑体" w:eastAsia="黑体" w:cs="黑体"/>
          <w:b w:val="0"/>
          <w:bCs w:val="0"/>
          <w:sz w:val="32"/>
          <w:szCs w:val="32"/>
        </w:rPr>
        <w:t>（以下内容不允许负偏离）</w:t>
      </w:r>
    </w:p>
    <w:tbl>
      <w:tblPr>
        <w:tblStyle w:val="5"/>
        <w:tblW w:w="8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2938"/>
        <w:gridCol w:w="1586"/>
        <w:gridCol w:w="1508"/>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pageBreakBefore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合同包</w:t>
            </w:r>
          </w:p>
        </w:tc>
        <w:tc>
          <w:tcPr>
            <w:tcW w:w="2938" w:type="dxa"/>
            <w:vAlign w:val="center"/>
          </w:tcPr>
          <w:p>
            <w:pPr>
              <w:keepNext w:val="0"/>
              <w:keepLines w:val="0"/>
              <w:pageBreakBefore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服务名称</w:t>
            </w:r>
          </w:p>
        </w:tc>
        <w:tc>
          <w:tcPr>
            <w:tcW w:w="1586" w:type="dxa"/>
            <w:vAlign w:val="center"/>
          </w:tcPr>
          <w:p>
            <w:pPr>
              <w:keepNext w:val="0"/>
              <w:keepLines w:val="0"/>
              <w:pageBreakBefore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14:textFill>
                  <w14:solidFill>
                    <w14:schemeClr w14:val="tx1"/>
                  </w14:solidFill>
                </w14:textFill>
              </w:rPr>
              <w:t>预算金额（元）</w:t>
            </w:r>
          </w:p>
        </w:tc>
        <w:tc>
          <w:tcPr>
            <w:tcW w:w="1508" w:type="dxa"/>
            <w:vAlign w:val="center"/>
          </w:tcPr>
          <w:p>
            <w:pPr>
              <w:keepNext w:val="0"/>
              <w:keepLines w:val="0"/>
              <w:pageBreakBefore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服务</w:t>
            </w:r>
          </w:p>
          <w:p>
            <w:pPr>
              <w:keepNext w:val="0"/>
              <w:keepLines w:val="0"/>
              <w:pageBreakBefore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技术服务要求</w:t>
            </w:r>
          </w:p>
        </w:tc>
        <w:tc>
          <w:tcPr>
            <w:tcW w:w="2239" w:type="dxa"/>
            <w:vAlign w:val="center"/>
          </w:tcPr>
          <w:p>
            <w:pPr>
              <w:keepNext w:val="0"/>
              <w:keepLines w:val="0"/>
              <w:pageBreakBefore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服务</w:t>
            </w:r>
          </w:p>
          <w:p>
            <w:pPr>
              <w:keepNext w:val="0"/>
              <w:keepLines w:val="0"/>
              <w:pageBreakBefore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vAlign w:val="center"/>
          </w:tcPr>
          <w:p>
            <w:pPr>
              <w:keepNext w:val="0"/>
              <w:keepLines w:val="0"/>
              <w:pageBreakBefore w:val="0"/>
              <w:widowControl/>
              <w:tabs>
                <w:tab w:val="left" w:pos="900"/>
                <w:tab w:val="left" w:pos="1100"/>
              </w:tabs>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1</w:t>
            </w:r>
          </w:p>
        </w:tc>
        <w:tc>
          <w:tcPr>
            <w:tcW w:w="2938" w:type="dxa"/>
            <w:vAlign w:val="center"/>
          </w:tcPr>
          <w:p>
            <w:pPr>
              <w:keepNext w:val="0"/>
              <w:keepLines w:val="0"/>
              <w:pageBreakBefore w:val="0"/>
              <w:widowControl/>
              <w:tabs>
                <w:tab w:val="left" w:pos="900"/>
                <w:tab w:val="left" w:pos="1100"/>
              </w:tabs>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莆田市湄洲岛湖石淉生态公园管理有限公司水幕秀维护项目</w:t>
            </w:r>
          </w:p>
        </w:tc>
        <w:tc>
          <w:tcPr>
            <w:tcW w:w="1586" w:type="dxa"/>
            <w:vAlign w:val="center"/>
          </w:tcPr>
          <w:p>
            <w:pPr>
              <w:keepNext w:val="0"/>
              <w:keepLines w:val="0"/>
              <w:pageBreakBefore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p>
        </w:tc>
        <w:tc>
          <w:tcPr>
            <w:tcW w:w="1508" w:type="dxa"/>
            <w:vAlign w:val="center"/>
          </w:tcPr>
          <w:p>
            <w:pPr>
              <w:keepNext w:val="0"/>
              <w:keepLines w:val="0"/>
              <w:pageBreakBefore w:val="0"/>
              <w:widowControl/>
              <w:tabs>
                <w:tab w:val="left" w:pos="900"/>
                <w:tab w:val="left" w:pos="1100"/>
              </w:tabs>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w:t>
            </w:r>
            <w:r>
              <w:rPr>
                <w:rFonts w:hint="eastAsia" w:ascii="仿宋" w:hAnsi="仿宋" w:eastAsia="仿宋" w:cs="仿宋"/>
                <w:color w:val="000000" w:themeColor="text1"/>
                <w:sz w:val="32"/>
                <w:szCs w:val="32"/>
                <w:u w:val="none"/>
                <w14:textFill>
                  <w14:solidFill>
                    <w14:schemeClr w14:val="tx1"/>
                  </w14:solidFill>
                </w14:textFill>
              </w:rPr>
              <w:t>服务期</w:t>
            </w:r>
            <w:r>
              <w:rPr>
                <w:rFonts w:hint="eastAsia" w:ascii="仿宋" w:hAnsi="仿宋" w:eastAsia="仿宋" w:cs="仿宋"/>
                <w:color w:val="000000" w:themeColor="text1"/>
                <w:sz w:val="32"/>
                <w:szCs w:val="32"/>
                <w:u w:val="none"/>
                <w:lang w:val="en-US" w:eastAsia="zh-CN"/>
                <w14:textFill>
                  <w14:solidFill>
                    <w14:schemeClr w14:val="tx1"/>
                  </w14:solidFill>
                </w14:textFill>
              </w:rPr>
              <w:t>3年）</w:t>
            </w:r>
          </w:p>
          <w:p>
            <w:pPr>
              <w:keepNext w:val="0"/>
              <w:keepLines w:val="0"/>
              <w:pageBreakBefore w:val="0"/>
              <w:widowControl/>
              <w:tabs>
                <w:tab w:val="left" w:pos="900"/>
                <w:tab w:val="left" w:pos="1100"/>
              </w:tabs>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详见附件</w:t>
            </w:r>
          </w:p>
          <w:p>
            <w:pPr>
              <w:keepNext w:val="0"/>
              <w:keepLines w:val="0"/>
              <w:pageBreakBefore w:val="0"/>
              <w:widowControl/>
              <w:tabs>
                <w:tab w:val="left" w:pos="900"/>
                <w:tab w:val="left" w:pos="1100"/>
              </w:tabs>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p>
        </w:tc>
        <w:tc>
          <w:tcPr>
            <w:tcW w:w="2239" w:type="dxa"/>
            <w:vAlign w:val="center"/>
          </w:tcPr>
          <w:p>
            <w:pPr>
              <w:keepNext w:val="0"/>
              <w:keepLines w:val="0"/>
              <w:pageBreakBefore w:val="0"/>
              <w:widowControl/>
              <w:tabs>
                <w:tab w:val="left" w:pos="900"/>
                <w:tab w:val="left" w:pos="1100"/>
              </w:tabs>
              <w:kinsoku/>
              <w:wordWrap/>
              <w:overflowPunct/>
              <w:topLinePunct w:val="0"/>
              <w:autoSpaceDE/>
              <w:autoSpaceDN/>
              <w:bidi w:val="0"/>
              <w:adjustRightInd/>
              <w:spacing w:beforeAutospacing="0" w:afterAutospacing="0" w:line="240" w:lineRule="auto"/>
              <w:ind w:left="0" w:leftChars="0"/>
              <w:jc w:val="center"/>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招标人指定地点（以合同签订的具体地址为准）</w:t>
            </w:r>
          </w:p>
        </w:tc>
      </w:tr>
    </w:tbl>
    <w:p>
      <w:pPr>
        <w:pStyle w:val="2"/>
        <w:pageBreakBefore w:val="0"/>
        <w:widowControl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643" w:firstLineChars="200"/>
        <w:jc w:val="both"/>
        <w:textAlignment w:val="auto"/>
        <w:rPr>
          <w:rStyle w:val="7"/>
          <w:rFonts w:hint="eastAsia" w:ascii="仿宋" w:hAnsi="仿宋" w:eastAsia="仿宋" w:cs="仿宋"/>
          <w:b/>
          <w:bCs w:val="0"/>
          <w:kern w:val="0"/>
          <w:sz w:val="32"/>
          <w:szCs w:val="32"/>
          <w:lang w:val="en-US" w:eastAsia="zh-CN" w:bidi="ar"/>
        </w:rPr>
      </w:pPr>
      <w:r>
        <w:rPr>
          <w:rStyle w:val="7"/>
          <w:rFonts w:hint="eastAsia" w:ascii="仿宋" w:hAnsi="仿宋" w:eastAsia="仿宋" w:cs="仿宋"/>
          <w:b/>
          <w:bCs w:val="0"/>
          <w:kern w:val="0"/>
          <w:sz w:val="32"/>
          <w:szCs w:val="32"/>
          <w:lang w:val="en-US" w:eastAsia="zh-CN" w:bidi="ar"/>
        </w:rPr>
        <w:t>注：不满足或不接受以下条款的均视为无效报价。</w:t>
      </w:r>
    </w:p>
    <w:p>
      <w:pPr>
        <w:keepNext w:val="0"/>
        <w:keepLines w:val="0"/>
        <w:pageBreakBefore w:val="0"/>
        <w:widowControl/>
        <w:numPr>
          <w:ilvl w:val="0"/>
          <w:numId w:val="1"/>
        </w:numPr>
        <w:kinsoku/>
        <w:wordWrap/>
        <w:overflowPunct/>
        <w:topLinePunct w:val="0"/>
        <w:autoSpaceDE/>
        <w:autoSpaceDN/>
        <w:bidi w:val="0"/>
        <w:adjustRightInd/>
        <w:spacing w:beforeAutospacing="0" w:afterAutospacing="0" w:line="240" w:lineRule="auto"/>
        <w:ind w:left="0" w:leftChars="0" w:firstLine="640" w:firstLineChars="200"/>
        <w:jc w:val="left"/>
        <w:textAlignment w:val="auto"/>
        <w:rPr>
          <w:rStyle w:val="7"/>
          <w:rFonts w:hint="eastAsia" w:ascii="仿宋" w:hAnsi="仿宋" w:eastAsia="仿宋" w:cs="仿宋"/>
          <w:b w:val="0"/>
          <w:bCs/>
          <w:color w:val="auto"/>
          <w:kern w:val="0"/>
          <w:sz w:val="32"/>
          <w:szCs w:val="32"/>
          <w:u w:val="none"/>
          <w:lang w:val="en-US" w:eastAsia="zh-CN" w:bidi="ar"/>
        </w:rPr>
      </w:pPr>
      <w:r>
        <w:rPr>
          <w:rStyle w:val="7"/>
          <w:rFonts w:hint="eastAsia" w:ascii="仿宋" w:hAnsi="仿宋" w:eastAsia="仿宋" w:cs="仿宋"/>
          <w:b w:val="0"/>
          <w:bCs/>
          <w:kern w:val="0"/>
          <w:sz w:val="32"/>
          <w:szCs w:val="32"/>
          <w:lang w:val="en-US" w:eastAsia="zh-CN" w:bidi="ar"/>
        </w:rPr>
        <w:t>报价人可按合同包报价，对同一合同包内所有内容报价时必须完整。评审与授标以合同包为单位。</w:t>
      </w:r>
      <w:r>
        <w:rPr>
          <w:rStyle w:val="7"/>
          <w:rFonts w:hint="eastAsia" w:ascii="仿宋" w:hAnsi="仿宋" w:eastAsia="仿宋" w:cs="仿宋"/>
          <w:b w:val="0"/>
          <w:bCs/>
          <w:color w:val="auto"/>
          <w:kern w:val="0"/>
          <w:sz w:val="32"/>
          <w:szCs w:val="32"/>
          <w:u w:val="none"/>
          <w:lang w:val="en-US" w:eastAsia="zh-CN" w:bidi="ar"/>
        </w:rPr>
        <w:t>本合同价款为固定总价价款。以预算价为最高限价，报价超过合同包的最高限价的为无效报价投标。</w:t>
      </w:r>
    </w:p>
    <w:p>
      <w:pPr>
        <w:pStyle w:val="2"/>
        <w:pageBreakBefore w:val="0"/>
        <w:widowControl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640" w:firstLineChars="200"/>
        <w:jc w:val="both"/>
        <w:textAlignment w:val="auto"/>
        <w:rPr>
          <w:rStyle w:val="7"/>
          <w:rFonts w:hint="eastAsia" w:ascii="仿宋" w:hAnsi="仿宋" w:eastAsia="仿宋" w:cs="仿宋"/>
          <w:b w:val="0"/>
          <w:bCs/>
          <w:kern w:val="0"/>
          <w:sz w:val="32"/>
          <w:szCs w:val="32"/>
          <w:lang w:val="en-US" w:eastAsia="zh-CN" w:bidi="ar"/>
        </w:rPr>
      </w:pPr>
      <w:r>
        <w:rPr>
          <w:rStyle w:val="7"/>
          <w:rFonts w:hint="eastAsia" w:ascii="仿宋" w:hAnsi="仿宋" w:eastAsia="仿宋" w:cs="仿宋"/>
          <w:b w:val="0"/>
          <w:bCs/>
          <w:kern w:val="0"/>
          <w:sz w:val="32"/>
          <w:szCs w:val="32"/>
          <w:lang w:val="en-US" w:eastAsia="zh-CN" w:bidi="ar"/>
        </w:rPr>
        <w:t>2、报价人应充分考虑交货期间生产材料价格上涨及市场销售价格上涨的风险，且该项风险费在报价中充分考虑。包括但不限于以下费用：货物包装费、运输费、保险费、装卸费、安装施工费、成交服务费、售后服务费等一切费用。</w:t>
      </w:r>
    </w:p>
    <w:p>
      <w:pPr>
        <w:pStyle w:val="2"/>
        <w:pageBreakBefore w:val="0"/>
        <w:widowControl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640" w:firstLineChars="200"/>
        <w:jc w:val="both"/>
        <w:textAlignment w:val="auto"/>
        <w:rPr>
          <w:rStyle w:val="7"/>
          <w:rFonts w:hint="eastAsia" w:ascii="仿宋" w:hAnsi="仿宋" w:eastAsia="仿宋" w:cs="仿宋"/>
          <w:b w:val="0"/>
          <w:bCs/>
          <w:kern w:val="0"/>
          <w:sz w:val="32"/>
          <w:szCs w:val="32"/>
          <w:lang w:val="en-US" w:eastAsia="zh-CN" w:bidi="ar"/>
        </w:rPr>
      </w:pPr>
      <w:r>
        <w:rPr>
          <w:rStyle w:val="7"/>
          <w:rFonts w:hint="eastAsia" w:ascii="仿宋" w:hAnsi="仿宋" w:eastAsia="仿宋" w:cs="仿宋"/>
          <w:b w:val="0"/>
          <w:bCs/>
          <w:kern w:val="0"/>
          <w:sz w:val="32"/>
          <w:szCs w:val="32"/>
          <w:lang w:val="en-US" w:eastAsia="zh-CN" w:bidi="ar"/>
        </w:rPr>
        <w:t>3、报价人须仔细阅读报价文件，了解本采购项目的全部采购内容。报价人的报价应是报价文件所确定的采购范围内的全部采购内容的价格体现。</w:t>
      </w:r>
    </w:p>
    <w:p>
      <w:pPr>
        <w:pStyle w:val="2"/>
        <w:pageBreakBefore w:val="0"/>
        <w:widowControl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640" w:firstLineChars="200"/>
        <w:jc w:val="both"/>
        <w:textAlignment w:val="auto"/>
        <w:rPr>
          <w:rStyle w:val="7"/>
          <w:rFonts w:hint="eastAsia" w:ascii="仿宋" w:hAnsi="仿宋" w:eastAsia="仿宋" w:cs="仿宋"/>
          <w:b w:val="0"/>
          <w:bCs/>
          <w:kern w:val="0"/>
          <w:sz w:val="32"/>
          <w:szCs w:val="32"/>
          <w:lang w:val="en-US" w:eastAsia="zh-CN" w:bidi="ar"/>
        </w:rPr>
      </w:pPr>
      <w:r>
        <w:rPr>
          <w:rStyle w:val="7"/>
          <w:rFonts w:hint="eastAsia" w:ascii="仿宋" w:hAnsi="仿宋" w:eastAsia="仿宋" w:cs="仿宋"/>
          <w:b w:val="0"/>
          <w:bCs/>
          <w:kern w:val="0"/>
          <w:sz w:val="32"/>
          <w:szCs w:val="32"/>
          <w:lang w:val="en-US" w:eastAsia="zh-CN" w:bidi="ar"/>
        </w:rPr>
        <w:t>4、不允许成交人以任何名义和理由进行转包。</w:t>
      </w:r>
    </w:p>
    <w:p>
      <w:pPr>
        <w:pStyle w:val="2"/>
        <w:pageBreakBefore w:val="0"/>
        <w:widowControl w:val="0"/>
        <w:kinsoku/>
        <w:wordWrap/>
        <w:overflowPunct/>
        <w:topLinePunct w:val="0"/>
        <w:autoSpaceDE/>
        <w:autoSpaceDN/>
        <w:bidi w:val="0"/>
        <w:adjustRightInd/>
        <w:snapToGrid w:val="0"/>
        <w:spacing w:before="0" w:beforeLines="0" w:beforeAutospacing="0" w:after="0" w:afterLines="0" w:afterAutospacing="0" w:line="240" w:lineRule="auto"/>
        <w:ind w:left="0" w:leftChars="0" w:firstLine="640" w:firstLineChars="200"/>
        <w:jc w:val="both"/>
        <w:textAlignment w:val="auto"/>
        <w:rPr>
          <w:rStyle w:val="7"/>
          <w:rFonts w:hint="eastAsia" w:ascii="仿宋" w:hAnsi="仿宋" w:eastAsia="仿宋" w:cs="仿宋"/>
          <w:b w:val="0"/>
          <w:bCs/>
          <w:kern w:val="0"/>
          <w:sz w:val="32"/>
          <w:szCs w:val="32"/>
          <w:lang w:val="en-US" w:eastAsia="zh-CN" w:bidi="ar"/>
        </w:rPr>
      </w:pPr>
      <w:r>
        <w:rPr>
          <w:rStyle w:val="7"/>
          <w:rFonts w:hint="eastAsia" w:ascii="仿宋" w:hAnsi="仿宋" w:eastAsia="仿宋" w:cs="仿宋"/>
          <w:b w:val="0"/>
          <w:bCs/>
          <w:kern w:val="0"/>
          <w:sz w:val="32"/>
          <w:szCs w:val="32"/>
          <w:lang w:val="en-US" w:eastAsia="zh-CN" w:bidi="ar"/>
        </w:rPr>
        <w:t>5、验收应符合采购人使用要求，验收期间，若出现货物或货物质量问题，需无条件更换或者采取挽救措施。</w:t>
      </w:r>
    </w:p>
    <w:p>
      <w:pPr>
        <w:pStyle w:val="8"/>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14:textFill>
            <w14:solidFill>
              <w14:schemeClr w14:val="tx1"/>
            </w14:solidFill>
          </w14:textFill>
        </w:rPr>
        <w:t>一</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14:textFill>
            <w14:solidFill>
              <w14:schemeClr w14:val="tx1"/>
            </w14:solidFill>
          </w14:textFill>
        </w:rPr>
        <w:t>、服务地点及服务期</w:t>
      </w:r>
    </w:p>
    <w:p>
      <w:pPr>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1.服务地点：</w:t>
      </w:r>
      <w:r>
        <w:rPr>
          <w:rFonts w:hint="eastAsia" w:ascii="仿宋" w:hAnsi="仿宋" w:eastAsia="仿宋" w:cs="仿宋"/>
          <w:color w:val="000000" w:themeColor="text1"/>
          <w:sz w:val="32"/>
          <w:szCs w:val="32"/>
          <w:u w:val="none"/>
          <w14:textFill>
            <w14:solidFill>
              <w14:schemeClr w14:val="tx1"/>
            </w14:solidFill>
          </w14:textFill>
        </w:rPr>
        <w:t>湄洲岛湖石</w:t>
      </w:r>
      <w:r>
        <w:rPr>
          <w:rFonts w:hint="eastAsia" w:ascii="仿宋" w:hAnsi="仿宋" w:eastAsia="仿宋" w:cs="仿宋"/>
          <w:color w:val="000000" w:themeColor="text1"/>
          <w:sz w:val="32"/>
          <w:szCs w:val="32"/>
          <w:u w:val="none"/>
          <w:lang w:eastAsia="zh-CN"/>
          <w14:textFill>
            <w14:solidFill>
              <w14:schemeClr w14:val="tx1"/>
            </w14:solidFill>
          </w14:textFill>
        </w:rPr>
        <w:t>淉生态</w:t>
      </w:r>
      <w:r>
        <w:rPr>
          <w:rFonts w:hint="eastAsia" w:ascii="仿宋" w:hAnsi="仿宋" w:eastAsia="仿宋" w:cs="仿宋"/>
          <w:color w:val="000000" w:themeColor="text1"/>
          <w:sz w:val="32"/>
          <w:szCs w:val="32"/>
          <w:u w:val="none"/>
          <w14:textFill>
            <w14:solidFill>
              <w14:schemeClr w14:val="tx1"/>
            </w14:solidFill>
          </w14:textFill>
        </w:rPr>
        <w:t>公园</w:t>
      </w:r>
      <w:r>
        <w:rPr>
          <w:rFonts w:hint="eastAsia" w:ascii="仿宋" w:hAnsi="仿宋" w:eastAsia="仿宋" w:cs="仿宋"/>
          <w:color w:val="000000" w:themeColor="text1"/>
          <w:sz w:val="32"/>
          <w:szCs w:val="32"/>
          <w:u w:val="none"/>
          <w:lang w:eastAsia="zh-CN"/>
          <w14:textFill>
            <w14:solidFill>
              <w14:schemeClr w14:val="tx1"/>
            </w14:solidFill>
          </w14:textFill>
        </w:rPr>
        <w:t>广场</w:t>
      </w:r>
      <w:r>
        <w:rPr>
          <w:rFonts w:hint="eastAsia" w:ascii="仿宋" w:hAnsi="仿宋" w:eastAsia="仿宋" w:cs="仿宋"/>
          <w:color w:val="000000" w:themeColor="text1"/>
          <w:sz w:val="32"/>
          <w:szCs w:val="32"/>
          <w:u w:val="none"/>
          <w:lang w:val="en-US" w:eastAsia="zh-CN"/>
          <w14:textFill>
            <w14:solidFill>
              <w14:schemeClr w14:val="tx1"/>
            </w14:solidFill>
          </w14:textFill>
        </w:rPr>
        <w:t>3D水幕秀</w:t>
      </w:r>
      <w:r>
        <w:rPr>
          <w:rFonts w:hint="eastAsia" w:ascii="仿宋" w:hAnsi="仿宋" w:eastAsia="仿宋" w:cs="仿宋"/>
          <w:color w:val="000000" w:themeColor="text1"/>
          <w:sz w:val="32"/>
          <w:szCs w:val="32"/>
          <w:u w:val="none"/>
          <w14:textFill>
            <w14:solidFill>
              <w14:schemeClr w14:val="tx1"/>
            </w14:solidFill>
          </w14:textFill>
        </w:rPr>
        <w:t xml:space="preserve">   </w:t>
      </w:r>
    </w:p>
    <w:p>
      <w:pPr>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u w:val="none"/>
          <w:lang w:val="en-US"/>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2.服务期：</w:t>
      </w:r>
      <w:r>
        <w:rPr>
          <w:rFonts w:hint="eastAsia" w:ascii="仿宋" w:hAnsi="仿宋" w:eastAsia="仿宋" w:cs="仿宋"/>
          <w:color w:val="000000" w:themeColor="text1"/>
          <w:sz w:val="32"/>
          <w:szCs w:val="32"/>
          <w:u w:val="none"/>
          <w:lang w:val="en-US" w:eastAsia="zh-CN"/>
          <w14:textFill>
            <w14:solidFill>
              <w14:schemeClr w14:val="tx1"/>
            </w14:solidFill>
          </w14:textFill>
        </w:rPr>
        <w:t>3年</w:t>
      </w:r>
    </w:p>
    <w:p>
      <w:pPr>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14:textFill>
            <w14:solidFill>
              <w14:schemeClr w14:val="tx1"/>
            </w14:solidFill>
          </w14:textFill>
        </w:rPr>
        <w:t>二</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14:textFill>
            <w14:solidFill>
              <w14:schemeClr w14:val="tx1"/>
            </w14:solidFill>
          </w14:textFill>
        </w:rPr>
        <w:t>、服务要求</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kern w:val="2"/>
          <w:sz w:val="32"/>
          <w:szCs w:val="32"/>
          <w:lang w:val="en-US" w:eastAsia="zh-CN" w:bidi="ar-SA"/>
          <w14:textFill>
            <w14:solidFill>
              <w14:schemeClr w14:val="tx1"/>
            </w14:solidFill>
          </w14:textFill>
        </w:rPr>
        <w:t>、供应商负责服务期内湄洲岛湖石淉公园广场3D水幕秀、夜景灯光及配套设施的日常维护,负责水幕秀播放，及播放期间现场秩序维护，确保系统正常运行，灯光秀每天能正常播放，效果展示正常。包括但不限于数字内容更新、硬件设备修复、零配件更换、软件系统升级及维护、配备维护人员、重大节假日人员保障等。</w:t>
      </w:r>
    </w:p>
    <w:p>
      <w:pPr>
        <w:pageBreakBefore w:val="0"/>
        <w:kinsoku/>
        <w:wordWrap/>
        <w:overflowPunct/>
        <w:topLinePunct w:val="0"/>
        <w:autoSpaceDE/>
        <w:autoSpaceDN/>
        <w:bidi w:val="0"/>
        <w:adjustRightInd/>
        <w:spacing w:beforeAutospacing="0" w:afterAutospacing="0" w:line="240" w:lineRule="auto"/>
        <w:ind w:left="0" w:leftChars="0" w:firstLine="614" w:firstLineChars="192"/>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2、服务响应时间</w:t>
      </w:r>
    </w:p>
    <w:p>
      <w:pPr>
        <w:pageBreakBefore w:val="0"/>
        <w:kinsoku/>
        <w:wordWrap/>
        <w:overflowPunct/>
        <w:topLinePunct w:val="0"/>
        <w:autoSpaceDE/>
        <w:autoSpaceDN/>
        <w:bidi w:val="0"/>
        <w:adjustRightInd/>
        <w:spacing w:beforeAutospacing="0" w:afterAutospacing="0" w:line="240" w:lineRule="auto"/>
        <w:ind w:left="0" w:leftChars="0" w:firstLine="614" w:firstLineChars="192"/>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在接到</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报修后30分钟内响应，12小时内到达现场，24小时内修复，</w:t>
      </w:r>
      <w:r>
        <w:rPr>
          <w:rFonts w:hint="eastAsia" w:ascii="仿宋" w:hAnsi="仿宋" w:eastAsia="仿宋" w:cs="仿宋"/>
          <w:color w:val="000000" w:themeColor="text1"/>
          <w:sz w:val="32"/>
          <w:szCs w:val="32"/>
          <w:lang w:eastAsia="zh-CN"/>
          <w14:textFill>
            <w14:solidFill>
              <w14:schemeClr w14:val="tx1"/>
            </w14:solidFill>
          </w14:textFill>
        </w:rPr>
        <w:t>每日水幕秀播放时间</w:t>
      </w:r>
      <w:r>
        <w:rPr>
          <w:rFonts w:hint="eastAsia" w:ascii="仿宋" w:hAnsi="仿宋" w:eastAsia="仿宋" w:cs="仿宋"/>
          <w:color w:val="000000" w:themeColor="text1"/>
          <w:sz w:val="32"/>
          <w:szCs w:val="32"/>
          <w:lang w:val="en-US" w:eastAsia="zh-CN"/>
          <w14:textFill>
            <w14:solidFill>
              <w14:schemeClr w14:val="tx1"/>
            </w14:solidFill>
          </w14:textFill>
        </w:rPr>
        <w:t>7:30，尽量在播放前完成修复，</w:t>
      </w:r>
      <w:r>
        <w:rPr>
          <w:rFonts w:hint="eastAsia" w:ascii="仿宋" w:hAnsi="仿宋" w:eastAsia="仿宋" w:cs="仿宋"/>
          <w:color w:val="000000" w:themeColor="text1"/>
          <w:sz w:val="32"/>
          <w:szCs w:val="32"/>
          <w14:textFill>
            <w14:solidFill>
              <w14:schemeClr w14:val="tx1"/>
            </w14:solidFill>
          </w14:textFill>
        </w:rPr>
        <w:t>若在</w:t>
      </w:r>
      <w:r>
        <w:rPr>
          <w:rFonts w:hint="eastAsia" w:ascii="仿宋" w:hAnsi="仿宋" w:eastAsia="仿宋" w:cs="仿宋"/>
          <w:color w:val="000000" w:themeColor="text1"/>
          <w:sz w:val="32"/>
          <w:szCs w:val="32"/>
          <w:lang w:val="en-US" w:eastAsia="zh-CN"/>
          <w14:textFill>
            <w14:solidFill>
              <w14:schemeClr w14:val="tx1"/>
            </w14:solidFill>
          </w14:textFill>
        </w:rPr>
        <w:t>播放前</w:t>
      </w:r>
      <w:r>
        <w:rPr>
          <w:rFonts w:hint="eastAsia" w:ascii="仿宋" w:hAnsi="仿宋" w:eastAsia="仿宋" w:cs="仿宋"/>
          <w:color w:val="000000" w:themeColor="text1"/>
          <w:sz w:val="32"/>
          <w:szCs w:val="32"/>
          <w14:textFill>
            <w14:solidFill>
              <w14:schemeClr w14:val="tx1"/>
            </w14:solidFill>
          </w14:textFill>
        </w:rPr>
        <w:t>无法修复故障，</w:t>
      </w:r>
      <w:r>
        <w:rPr>
          <w:rFonts w:hint="eastAsia" w:ascii="仿宋" w:hAnsi="仿宋" w:eastAsia="仿宋" w:cs="仿宋"/>
          <w:color w:val="000000" w:themeColor="text1"/>
          <w:sz w:val="32"/>
          <w:szCs w:val="32"/>
          <w:lang w:eastAsia="zh-CN"/>
          <w14:textFill>
            <w14:solidFill>
              <w14:schemeClr w14:val="tx1"/>
            </w14:solidFill>
          </w14:textFill>
        </w:rPr>
        <w:t>需</w:t>
      </w:r>
      <w:r>
        <w:rPr>
          <w:rFonts w:hint="eastAsia" w:ascii="仿宋" w:hAnsi="仿宋" w:eastAsia="仿宋" w:cs="仿宋"/>
          <w:color w:val="000000" w:themeColor="text1"/>
          <w:sz w:val="32"/>
          <w:szCs w:val="32"/>
          <w14:textFill>
            <w14:solidFill>
              <w14:schemeClr w14:val="tx1"/>
            </w14:solidFill>
          </w14:textFill>
        </w:rPr>
        <w:t>提供代用设备，待原设备修复后再行换回，保证系统恢复运行</w:t>
      </w:r>
      <w:r>
        <w:rPr>
          <w:rFonts w:hint="eastAsia" w:ascii="仿宋" w:hAnsi="仿宋" w:eastAsia="仿宋" w:cs="仿宋"/>
          <w:color w:val="000000" w:themeColor="text1"/>
          <w:sz w:val="32"/>
          <w:szCs w:val="32"/>
          <w:lang w:eastAsia="zh-CN"/>
          <w14:textFill>
            <w14:solidFill>
              <w14:schemeClr w14:val="tx1"/>
            </w14:solidFill>
          </w14:textFill>
        </w:rPr>
        <w:t>，同时向业主汇报</w:t>
      </w:r>
      <w:r>
        <w:rPr>
          <w:rFonts w:hint="eastAsia" w:ascii="仿宋" w:hAnsi="仿宋" w:eastAsia="仿宋" w:cs="仿宋"/>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pacing w:beforeAutospacing="0" w:afterAutospacing="0" w:line="240" w:lineRule="auto"/>
        <w:ind w:left="0" w:leftChars="0" w:firstLine="614" w:firstLineChars="192"/>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3、系统巡检服务</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须制定合理的系统巡检计划，现场工程师完成各类设备的预防性维护，对湄洲岛3D水幕光影秀系统设备进行细致全面的监视和检查，检查的内容包括系统、设备硬件检查等。</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现场工程师完成设备预防性维护后须在一个工作日内提交设备巡检报告，并提交</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的相关负责人，</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可以根据需要增加或修改设备巡检内容。</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现场工程师建立设备维修档案，并根据设备运行情况向</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提供设备维修、更换、升级、改造的建议和方案。在设备巡检过程中现场工程师根据</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需要对</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的维护人员进行现场培训。维修档案及培训记录在每年末移交给</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4、重点日期保障服务</w:t>
      </w:r>
    </w:p>
    <w:p>
      <w:pPr>
        <w:pageBreakBefore w:val="0"/>
        <w:kinsoku/>
        <w:wordWrap/>
        <w:overflowPunct/>
        <w:topLinePunct w:val="0"/>
        <w:autoSpaceDE/>
        <w:autoSpaceDN/>
        <w:bidi w:val="0"/>
        <w:adjustRightInd/>
        <w:spacing w:beforeAutospacing="0" w:afterAutospacing="0" w:line="240" w:lineRule="auto"/>
        <w:ind w:left="0" w:leftChars="0" w:firstLine="614" w:firstLineChars="192"/>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为保证服务质量，遇重要节假日、重大活动及恶劣自然天气时对湄洲岛3D水幕光影秀系统设备进行巡检及预防性维护，并采用相应地预防措施或维修维护措施，保障系统稳定运行，尽最大努力保障</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的正常工作开展。</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5、备品备件保障服务</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针对本项目维保服务可以在本地提供完整的备品、备件库，满足维保服务的需要，满足在维保期间用户的调度使用。</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备件的提供：当设备硬件遇到不能解决的问题且短时间内无法修复，</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负责提供替代设备直到修复以保障系统业务的正常运行。</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更换坏损部件品质保障：现场维修和坏件的更换，</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提供的所有进行更换的零部件都必须是正规</w:t>
      </w:r>
      <w:r>
        <w:rPr>
          <w:rFonts w:hint="eastAsia" w:ascii="仿宋" w:hAnsi="仿宋" w:eastAsia="仿宋" w:cs="仿宋"/>
          <w:color w:val="000000" w:themeColor="text1"/>
          <w:sz w:val="32"/>
          <w:szCs w:val="32"/>
          <w:lang w:eastAsia="zh-CN"/>
          <w14:textFill>
            <w14:solidFill>
              <w14:schemeClr w14:val="tx1"/>
            </w14:solidFill>
          </w14:textFill>
        </w:rPr>
        <w:t>且符合要求的</w:t>
      </w:r>
      <w:r>
        <w:rPr>
          <w:rFonts w:hint="eastAsia" w:ascii="仿宋" w:hAnsi="仿宋" w:eastAsia="仿宋" w:cs="仿宋"/>
          <w:color w:val="000000" w:themeColor="text1"/>
          <w:sz w:val="32"/>
          <w:szCs w:val="32"/>
          <w14:textFill>
            <w14:solidFill>
              <w14:schemeClr w14:val="tx1"/>
            </w14:solidFill>
          </w14:textFill>
        </w:rPr>
        <w:t>产品。</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制定详细的维保服务方案，含维保计划、故障解决措施、系统优化及改造措施、人员组织、业绩及经验、提供备品备件、特色服务。</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提供的服务标准、设备制造标准、安装标准及技术规范等必须符合国家及行业管理相关标准或规范要求，应在投标文件中提供详细实施方案。</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的维保服务应遵循专业、成熟、安全可靠的业务流程。</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9、本项目服务期内若设备故障需要更换配件或设备的，所需的设备费、配件费、更换费用、人工费等均由</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承担，</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不再另行支付。</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维保期内所提供的设备、配件、易损件必须是全新、包装完整、原厂商原装、正规渠道产品，且与原使用的设备品牌档次及技术性能一致。</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应保证</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在使用设备时安全、可靠，享有完整的原厂商售后服务，在使用涉及的任何一部分时免受第三方提出侵犯其著作权、专利权、商标权或设计权的纠纷。</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11、</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必须与</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紧密配合，准确把握需求并快速响应用户需求，并以</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最终确认的内容和要求为准。</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所提交的设备、配件必须经过严格的测试，并经采购方确认后，才能上线使用，如与需求不符，</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必须无条件的更改。</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必须按照行业专家及</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提出的意见在合同约定的时间内，保障设备的安全、稳定、可靠运行。</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12、</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为本项目配备的进场工作人员需配备专业技术工具，应有从事类似服务项目经验，文明工作，不违反</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单位安全、卫生等管理制度。</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应加强进场工作人员的安全教育，规范维护操作流程，相关人员人身安全事故责任</w:t>
      </w:r>
      <w:r>
        <w:rPr>
          <w:rFonts w:hint="eastAsia" w:ascii="仿宋" w:hAnsi="仿宋" w:eastAsia="仿宋" w:cs="仿宋"/>
          <w:color w:val="000000" w:themeColor="text1"/>
          <w:sz w:val="32"/>
          <w:szCs w:val="32"/>
          <w:lang w:eastAsia="zh-CN"/>
          <w14:textFill>
            <w14:solidFill>
              <w14:schemeClr w14:val="tx1"/>
            </w14:solidFill>
          </w14:textFill>
        </w:rPr>
        <w:t>及经济损失</w:t>
      </w:r>
      <w:r>
        <w:rPr>
          <w:rFonts w:hint="eastAsia" w:ascii="仿宋" w:hAnsi="仿宋" w:eastAsia="仿宋" w:cs="仿宋"/>
          <w:color w:val="000000" w:themeColor="text1"/>
          <w:sz w:val="32"/>
          <w:szCs w:val="32"/>
          <w14:textFill>
            <w14:solidFill>
              <w14:schemeClr w14:val="tx1"/>
            </w14:solidFill>
          </w14:textFill>
        </w:rPr>
        <w:t>均由</w:t>
      </w:r>
      <w:r>
        <w:rPr>
          <w:rFonts w:hint="eastAsia" w:ascii="仿宋" w:hAnsi="仿宋" w:eastAsia="仿宋" w:cs="仿宋"/>
          <w:color w:val="000000" w:themeColor="text1"/>
          <w:sz w:val="32"/>
          <w:szCs w:val="32"/>
          <w:lang w:eastAsia="zh-CN"/>
          <w14:textFill>
            <w14:solidFill>
              <w14:schemeClr w14:val="tx1"/>
            </w14:solidFill>
          </w14:textFill>
        </w:rPr>
        <w:t>供应商一律</w:t>
      </w:r>
      <w:r>
        <w:rPr>
          <w:rFonts w:hint="eastAsia" w:ascii="仿宋" w:hAnsi="仿宋" w:eastAsia="仿宋" w:cs="仿宋"/>
          <w:color w:val="000000" w:themeColor="text1"/>
          <w:sz w:val="32"/>
          <w:szCs w:val="32"/>
          <w14:textFill>
            <w14:solidFill>
              <w14:schemeClr w14:val="tx1"/>
            </w14:solidFill>
          </w14:textFill>
        </w:rPr>
        <w:t>承担。</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13、</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应对</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 xml:space="preserve">的文件、数据、设备进行保护（不得随意更换、破坏、丢失、涂改、抽取或伪造等）。 </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14、</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应作好项目实施记录、跟踪维护报告，项目资料的整理、验收资料的编制等工作。项目完工验收时将系统的全部有关技术文件、实施记录资料、及相关文档汇集成册交付</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15、</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须承诺承担本项目下保密义务，未经</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许可不得将因本次项目获得的信息向第三方外传。</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16、</w:t>
      </w:r>
      <w:r>
        <w:rPr>
          <w:rFonts w:hint="eastAsia" w:ascii="仿宋" w:hAnsi="仿宋" w:eastAsia="仿宋" w:cs="仿宋"/>
          <w:b w:val="0"/>
          <w:bCs/>
          <w:color w:val="000000" w:themeColor="text1"/>
          <w:sz w:val="32"/>
          <w:szCs w:val="32"/>
          <w14:textFill>
            <w14:solidFill>
              <w14:schemeClr w14:val="tx1"/>
            </w14:solidFill>
          </w14:textFill>
        </w:rPr>
        <w:t>3D水幕数字内容更新：</w:t>
      </w:r>
      <w:r>
        <w:rPr>
          <w:rFonts w:hint="eastAsia" w:ascii="仿宋" w:hAnsi="仿宋" w:eastAsia="仿宋" w:cs="仿宋"/>
          <w:color w:val="000000" w:themeColor="text1"/>
          <w:sz w:val="32"/>
          <w:szCs w:val="32"/>
          <w14:textFill>
            <w14:solidFill>
              <w14:schemeClr w14:val="tx1"/>
            </w14:solidFill>
          </w14:textFill>
        </w:rPr>
        <w:t>每年根据节庆（如：中秋，国庆，妈祖诞辰日，建党100周年，元旦，春节等）每年制作不低于300秒的3</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幕光影秀数字内容。</w:t>
      </w:r>
    </w:p>
    <w:p>
      <w:pPr>
        <w:pageBreakBefore w:val="0"/>
        <w:kinsoku/>
        <w:wordWrap/>
        <w:overflowPunct/>
        <w:topLinePunct w:val="0"/>
        <w:autoSpaceDE/>
        <w:autoSpaceDN/>
        <w:bidi w:val="0"/>
        <w:adjustRightInd/>
        <w:spacing w:beforeAutospacing="0" w:afterAutospacing="0" w:line="240" w:lineRule="auto"/>
        <w:ind w:left="0" w:leftChars="0" w:firstLine="643" w:firstLineChars="200"/>
        <w:textAlignment w:val="auto"/>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三</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、采购人向供应商支付服务报酬及支付方式为：</w:t>
      </w:r>
    </w:p>
    <w:p>
      <w:pPr>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1.本合同价款为固定总价价款，合同</w:t>
      </w:r>
      <w:r>
        <w:rPr>
          <w:rFonts w:hint="eastAsia" w:ascii="仿宋" w:hAnsi="仿宋" w:eastAsia="仿宋" w:cs="仿宋"/>
          <w:color w:val="000000" w:themeColor="text1"/>
          <w:sz w:val="32"/>
          <w:szCs w:val="32"/>
          <w:lang w:eastAsia="zh-CN"/>
          <w14:textFill>
            <w14:solidFill>
              <w14:schemeClr w14:val="tx1"/>
            </w14:solidFill>
          </w14:textFill>
        </w:rPr>
        <w:t>总</w:t>
      </w:r>
      <w:r>
        <w:rPr>
          <w:rFonts w:hint="eastAsia" w:ascii="仿宋" w:hAnsi="仿宋" w:eastAsia="仿宋" w:cs="仿宋"/>
          <w:color w:val="000000" w:themeColor="text1"/>
          <w:sz w:val="32"/>
          <w:szCs w:val="32"/>
          <w14:textFill>
            <w14:solidFill>
              <w14:schemeClr w14:val="tx1"/>
            </w14:solidFill>
          </w14:textFill>
        </w:rPr>
        <w:t>价中已包含拆装费、材料费、施工机械使用费、人工费、措施费、安全文明施工费、规费、税费、企业管理费、利润、风险及其他为完成本项目所需的一切费用，结算时除合同另有约定外均不予调整。本合同价款为</w:t>
      </w:r>
      <w:r>
        <w:rPr>
          <w:rFonts w:hint="eastAsia" w:ascii="仿宋" w:hAnsi="仿宋" w:eastAsia="仿宋" w:cs="仿宋"/>
          <w:color w:val="000000" w:themeColor="text1"/>
          <w:sz w:val="32"/>
          <w:szCs w:val="32"/>
          <w:u w:val="single"/>
          <w14:textFill>
            <w14:solidFill>
              <w14:schemeClr w14:val="tx1"/>
            </w14:solidFill>
          </w14:textFill>
        </w:rPr>
        <w:t xml:space="preserve">                           。</w:t>
      </w:r>
    </w:p>
    <w:p>
      <w:pPr>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2.服务费由</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分期支付给</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具体支付方式和时间：合同签订维保时间为</w:t>
      </w:r>
      <w:r>
        <w:rPr>
          <w:rFonts w:hint="eastAsia" w:ascii="仿宋" w:hAnsi="仿宋" w:eastAsia="仿宋" w:cs="仿宋"/>
          <w:color w:val="000000" w:themeColor="text1"/>
          <w:sz w:val="32"/>
          <w:szCs w:val="32"/>
          <w:u w:val="single"/>
          <w14:textFill>
            <w14:solidFill>
              <w14:schemeClr w14:val="tx1"/>
            </w14:solidFill>
          </w14:textFill>
        </w:rPr>
        <w:t xml:space="preserve">  3  </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平均每</w:t>
      </w:r>
      <w:r>
        <w:rPr>
          <w:rFonts w:hint="eastAsia" w:ascii="仿宋" w:hAnsi="仿宋" w:eastAsia="仿宋" w:cs="仿宋"/>
          <w:color w:val="000000" w:themeColor="text1"/>
          <w:sz w:val="32"/>
          <w:szCs w:val="32"/>
          <w:lang w:val="en-US" w:eastAsia="zh-CN"/>
          <w14:textFill>
            <w14:solidFill>
              <w14:schemeClr w14:val="tx1"/>
            </w14:solidFill>
          </w14:textFill>
        </w:rPr>
        <w:t>季度</w:t>
      </w:r>
      <w:r>
        <w:rPr>
          <w:rFonts w:hint="eastAsia" w:ascii="仿宋" w:hAnsi="仿宋" w:eastAsia="仿宋" w:cs="仿宋"/>
          <w:color w:val="000000" w:themeColor="text1"/>
          <w:sz w:val="32"/>
          <w:szCs w:val="32"/>
          <w14:textFill>
            <w14:solidFill>
              <w14:schemeClr w14:val="tx1"/>
            </w14:solidFill>
          </w14:textFill>
        </w:rPr>
        <w:t>支付</w:t>
      </w:r>
      <w:r>
        <w:rPr>
          <w:rFonts w:hint="eastAsia" w:ascii="仿宋" w:hAnsi="仿宋" w:eastAsia="仿宋" w:cs="仿宋"/>
          <w:color w:val="000000" w:themeColor="text1"/>
          <w:sz w:val="32"/>
          <w:szCs w:val="32"/>
          <w:lang w:eastAsia="zh-CN"/>
          <w14:textFill>
            <w14:solidFill>
              <w14:schemeClr w14:val="tx1"/>
            </w14:solidFill>
          </w14:textFill>
        </w:rPr>
        <w:t>一次服务费</w:t>
      </w:r>
      <w:r>
        <w:rPr>
          <w:rFonts w:hint="eastAsia" w:ascii="仿宋" w:hAnsi="仿宋" w:eastAsia="仿宋" w:cs="仿宋"/>
          <w:color w:val="000000" w:themeColor="text1"/>
          <w:sz w:val="32"/>
          <w:szCs w:val="32"/>
          <w14:textFill>
            <w14:solidFill>
              <w14:schemeClr w14:val="tx1"/>
            </w14:solidFill>
          </w14:textFill>
        </w:rPr>
        <w:t>。</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、履约保证金</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须</w:t>
      </w:r>
      <w:r>
        <w:rPr>
          <w:rFonts w:hint="eastAsia" w:ascii="仿宋" w:hAnsi="仿宋" w:eastAsia="仿宋" w:cs="仿宋"/>
          <w:color w:val="000000" w:themeColor="text1"/>
          <w:sz w:val="32"/>
          <w:szCs w:val="32"/>
          <w:lang w:eastAsia="zh-CN"/>
          <w14:textFill>
            <w14:solidFill>
              <w14:schemeClr w14:val="tx1"/>
            </w14:solidFill>
          </w14:textFill>
        </w:rPr>
        <w:t>在合同签订前向采购人缴纳合同价的</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为</w:t>
      </w:r>
      <w:r>
        <w:rPr>
          <w:rFonts w:hint="eastAsia" w:ascii="仿宋" w:hAnsi="仿宋" w:eastAsia="仿宋" w:cs="仿宋"/>
          <w:color w:val="000000" w:themeColor="text1"/>
          <w:sz w:val="32"/>
          <w:szCs w:val="32"/>
          <w14:textFill>
            <w14:solidFill>
              <w14:schemeClr w14:val="tx1"/>
            </w14:solidFill>
          </w14:textFill>
        </w:rPr>
        <w:t>履约保证金。在合同期内，</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未出现违约情形及</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利益受损的情况下，履约保证金在3年维修合同到期并通过</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验收时无息退还。</w:t>
      </w:r>
    </w:p>
    <w:p>
      <w:pPr>
        <w:pStyle w:val="3"/>
        <w:pageBreakBefore w:val="0"/>
        <w:kinsoku/>
        <w:wordWrap/>
        <w:overflowPunct/>
        <w:topLinePunct w:val="0"/>
        <w:autoSpaceDE/>
        <w:autoSpaceDN/>
        <w:bidi w:val="0"/>
        <w:adjustRightInd/>
        <w:spacing w:beforeAutospacing="0" w:afterAutospacing="0" w:line="240" w:lineRule="auto"/>
        <w:ind w:left="0" w:leftChars="0" w:firstLine="480"/>
        <w:textAlignment w:val="auto"/>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四</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、违约责任</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.1因</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原因造成服务合同无法</w:t>
      </w:r>
      <w:r>
        <w:rPr>
          <w:rFonts w:hint="eastAsia" w:ascii="仿宋" w:hAnsi="仿宋" w:eastAsia="仿宋" w:cs="仿宋"/>
          <w:color w:val="000000" w:themeColor="text1"/>
          <w:sz w:val="32"/>
          <w:szCs w:val="32"/>
          <w:lang w:eastAsia="zh-CN"/>
          <w14:textFill>
            <w14:solidFill>
              <w14:schemeClr w14:val="tx1"/>
            </w14:solidFill>
          </w14:textFill>
        </w:rPr>
        <w:t>履行</w:t>
      </w:r>
      <w:r>
        <w:rPr>
          <w:rFonts w:hint="eastAsia" w:ascii="仿宋" w:hAnsi="仿宋" w:eastAsia="仿宋" w:cs="仿宋"/>
          <w:color w:val="000000" w:themeColor="text1"/>
          <w:sz w:val="32"/>
          <w:szCs w:val="32"/>
          <w14:textFill>
            <w14:solidFill>
              <w14:schemeClr w14:val="tx1"/>
            </w14:solidFill>
          </w14:textFill>
        </w:rPr>
        <w:t>，视为</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违约，</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有权没收其</w:t>
      </w:r>
      <w:r>
        <w:rPr>
          <w:rFonts w:hint="eastAsia" w:ascii="仿宋" w:hAnsi="仿宋" w:eastAsia="仿宋" w:cs="仿宋"/>
          <w:color w:val="000000" w:themeColor="text1"/>
          <w:sz w:val="32"/>
          <w:szCs w:val="32"/>
          <w:lang w:eastAsia="zh-CN"/>
          <w14:textFill>
            <w14:solidFill>
              <w14:schemeClr w14:val="tx1"/>
            </w14:solidFill>
          </w14:textFill>
        </w:rPr>
        <w:t>履约</w:t>
      </w:r>
      <w:r>
        <w:rPr>
          <w:rFonts w:hint="eastAsia" w:ascii="仿宋" w:hAnsi="仿宋" w:eastAsia="仿宋" w:cs="仿宋"/>
          <w:color w:val="000000" w:themeColor="text1"/>
          <w:sz w:val="32"/>
          <w:szCs w:val="32"/>
          <w14:textFill>
            <w14:solidFill>
              <w14:schemeClr w14:val="tx1"/>
            </w14:solidFill>
          </w14:textFill>
        </w:rPr>
        <w:t>保证金，如</w:t>
      </w:r>
      <w:r>
        <w:rPr>
          <w:rFonts w:hint="eastAsia" w:ascii="仿宋" w:hAnsi="仿宋" w:eastAsia="仿宋" w:cs="仿宋"/>
          <w:color w:val="000000" w:themeColor="text1"/>
          <w:sz w:val="32"/>
          <w:szCs w:val="32"/>
          <w:lang w:eastAsia="zh-CN"/>
          <w14:textFill>
            <w14:solidFill>
              <w14:schemeClr w14:val="tx1"/>
            </w14:solidFill>
          </w14:textFill>
        </w:rPr>
        <w:t>履约</w:t>
      </w:r>
      <w:r>
        <w:rPr>
          <w:rFonts w:hint="eastAsia" w:ascii="仿宋" w:hAnsi="仿宋" w:eastAsia="仿宋" w:cs="仿宋"/>
          <w:color w:val="000000" w:themeColor="text1"/>
          <w:sz w:val="32"/>
          <w:szCs w:val="32"/>
          <w14:textFill>
            <w14:solidFill>
              <w14:schemeClr w14:val="tx1"/>
            </w14:solidFill>
          </w14:textFill>
        </w:rPr>
        <w:t>保证金不能弥补</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违约对</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造成的损失的，</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还需另行支付相应的赔偿。</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.2在签定服务合同之后，</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要求解除合同的，视为</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违约，对</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造成的损失的，</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须支付相应的赔偿(包括但不限于</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因重新招投标所支出的费用、新的中标单位接管之前产生的维修费用等)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并没收</w:t>
      </w:r>
      <w:r>
        <w:rPr>
          <w:rFonts w:hint="eastAsia" w:ascii="仿宋" w:hAnsi="仿宋" w:eastAsia="仿宋" w:cs="仿宋"/>
          <w:color w:val="000000" w:themeColor="text1"/>
          <w:sz w:val="32"/>
          <w:szCs w:val="32"/>
          <w14:textFill>
            <w14:solidFill>
              <w14:schemeClr w14:val="tx1"/>
            </w14:solidFill>
          </w14:textFill>
        </w:rPr>
        <w:t>履约保证金。</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.3若</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出现以下情形中任意一种情况，均视为</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违约，</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将取消其中标资格，如果已经签订合同的则合同自动解除，且</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还要承担相应的法律责任。</w:t>
      </w:r>
    </w:p>
    <w:p>
      <w:pPr>
        <w:pStyle w:val="3"/>
        <w:pageBreakBefore w:val="0"/>
        <w:numPr>
          <w:ilvl w:val="0"/>
          <w:numId w:val="2"/>
        </w:numPr>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的提供的服务与投标文件响应的不符的;</w:t>
      </w:r>
    </w:p>
    <w:p>
      <w:pPr>
        <w:pStyle w:val="3"/>
        <w:pageBreakBefore w:val="0"/>
        <w:numPr>
          <w:ilvl w:val="0"/>
          <w:numId w:val="0"/>
        </w:numPr>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自动放弃中标的:</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在中标公告期结束之日起30个日历日内(因</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原因)未与</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签订采购合同的;</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因不可抗力原因未能如时供货或不能履行合同的:</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未响应招标文件服务期限的。</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.4因</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原因发生重大质量事故，除依约承担赔偿责任外，还将按有关质量管理办法规定执行。同时，</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有权保留更换</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的权利，并报相关行政主管部门处罚。</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4</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在接到</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发出的整改通知书，累计三次未整改到位的，</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有权聘请其他单位进行维修维修费用从</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的维修款中扣除，</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需在</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发出扣款通知后7个工作日内补交扣除维修款，确保履约保证金达到合同中约定的履约保证金金额，若违反以上规定，</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有权单方终止维护合同，并没收履约保证金。</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4</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6本项目不允许</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以任何名义和理由进行转包，如有发现，</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有权单方终止合同，视为</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违约，</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违约对</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造成的损失的，需另行支付相应的赔偿。</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4</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7在合同期内，</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因各种原因，造成第三方的意外伤害及损失或经济损失，由</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自行承担全部法律和经济责任，与</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无关。</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.8</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无故停止工作，</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有权按损失程度扣减维护费，并对</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按合同约定进行处罚。若无故停工累计达2天，</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有权单方面终止合同，并没收履约保证金。</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.9</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必须积极响应并接受上级领导的监督检查，若收到上级领导的批评，经调查认定情况属实的，视情节轻重予以扣除维护费(扣除的维护费，由</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委托第三方的金额结算);造成恶劣影响的，</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有权单方面终止合同。</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必须随时、随地接受广大市民的监督，若收到市民的投诉，经调查认定情况属实的，视情节轻重，按照考核标准予以相应扣分，造成恶劣影响的，</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有权单方面终止合同。</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4</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用于更换的材料和设备不得低于建设期所用材料的质量和档次:应与建设期所用同一级别或优于原有品牌型号进行更换。灯具必须具备由国家认可的具有CMA和 CNAS 检测资质的国家级检测机构有效认证。(若更换其他品牌需向</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提交有关报告，并经</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书面确认后方能予以更换)，更换经费按实统一结算。</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将不定时对更换维修的设备及材料进行抽查并送检，检测费用由</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承担。</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4</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11</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必须按照相关安全规范进行操作，一切违反操作规范造成的伤亡事故由</w:t>
      </w:r>
      <w:r>
        <w:rPr>
          <w:rFonts w:hint="eastAsia" w:ascii="仿宋" w:hAnsi="仿宋" w:eastAsia="仿宋" w:cs="仿宋"/>
          <w:color w:val="000000" w:themeColor="text1"/>
          <w:sz w:val="32"/>
          <w:szCs w:val="32"/>
          <w:lang w:eastAsia="zh-CN"/>
          <w14:textFill>
            <w14:solidFill>
              <w14:schemeClr w14:val="tx1"/>
            </w14:solidFill>
          </w14:textFill>
        </w:rPr>
        <w:t>供应商自</w:t>
      </w:r>
      <w:r>
        <w:rPr>
          <w:rFonts w:hint="eastAsia" w:ascii="仿宋" w:hAnsi="仿宋" w:eastAsia="仿宋" w:cs="仿宋"/>
          <w:color w:val="000000" w:themeColor="text1"/>
          <w:sz w:val="32"/>
          <w:szCs w:val="32"/>
          <w14:textFill>
            <w14:solidFill>
              <w14:schemeClr w14:val="tx1"/>
            </w14:solidFill>
          </w14:textFill>
        </w:rPr>
        <w:t>行负责</w:t>
      </w:r>
      <w:r>
        <w:rPr>
          <w:rFonts w:hint="eastAsia" w:ascii="仿宋" w:hAnsi="仿宋" w:eastAsia="仿宋" w:cs="仿宋"/>
          <w:color w:val="000000" w:themeColor="text1"/>
          <w:sz w:val="32"/>
          <w:szCs w:val="32"/>
          <w:lang w:eastAsia="zh-CN"/>
          <w14:textFill>
            <w14:solidFill>
              <w14:schemeClr w14:val="tx1"/>
            </w14:solidFill>
          </w14:textFill>
        </w:rPr>
        <w:t>。</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4</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12</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向</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报备的项目团队人员在合同期限内不得随意更换，如确需更换，须征得</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同意后方可变更如未经</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同意更换</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有权终止合同。</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.13</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巡查记录与现场实际严重不符，或者选用产品与合同要求不符，且未及时告知</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或做出说明的，视为存在弄虚作假行为，发现一次罚款1000元，弄虚作假的累计达两次或因工作不负责而造成严重后果的，</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有权终止合同。</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4</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14</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下发的任务无特殊情况未及时修复的案件达到2件以上(含2件)，按照</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00元/件予以扣款合同期一个年度内累计未及时修复的案件达到</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件以上(含</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件)，按照</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000元/件予以扣款，并终止后续合同的执行。</w:t>
      </w:r>
    </w:p>
    <w:p>
      <w:pPr>
        <w:pStyle w:val="3"/>
        <w:pageBreakBefore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4</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15因</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原因，夜景设施未及时修复的，被媒体曝光或上级领导发现夜景灯光未亮或损坏等问题而巡视未发现的，扣人民币</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000元/项(次)，若造成恶劣影响的，如被上级部门通报批评、被媒体登报批评等情况，扣人民币</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000元/项(次)出现类似恶劣情况两次以上(含两次)</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有权单方面终止合同。</w:t>
      </w:r>
    </w:p>
    <w:p>
      <w:pPr>
        <w:pStyle w:val="8"/>
        <w:keepNext w:val="0"/>
        <w:keepLines w:val="0"/>
        <w:pageBreakBefore w:val="0"/>
        <w:numPr>
          <w:ilvl w:val="0"/>
          <w:numId w:val="0"/>
        </w:numPr>
        <w:kinsoku/>
        <w:wordWrap/>
        <w:overflowPunct/>
        <w:topLinePunct w:val="0"/>
        <w:autoSpaceDE/>
        <w:autoSpaceDN/>
        <w:bidi w:val="0"/>
        <w:adjustRightInd/>
        <w:snapToGrid/>
        <w:spacing w:beforeAutospacing="0" w:afterAutospacing="0" w:line="0" w:lineRule="atLeas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color w:val="000000" w:themeColor="text1"/>
          <w:sz w:val="32"/>
          <w:szCs w:val="32"/>
          <w:lang w:eastAsia="zh-CN"/>
          <w14:textFill>
            <w14:solidFill>
              <w14:schemeClr w14:val="tx1"/>
            </w14:solidFill>
          </w14:textFill>
        </w:rPr>
        <w:t>（五）</w:t>
      </w:r>
      <w:r>
        <w:rPr>
          <w:rFonts w:hint="eastAsia" w:ascii="黑体" w:hAnsi="黑体" w:eastAsia="黑体" w:cs="黑体"/>
          <w:b w:val="0"/>
          <w:bCs w:val="0"/>
          <w:sz w:val="32"/>
          <w:szCs w:val="32"/>
        </w:rPr>
        <w:t>维保清单及要求</w:t>
      </w:r>
    </w:p>
    <w:tbl>
      <w:tblPr>
        <w:tblStyle w:val="5"/>
        <w:tblW w:w="1020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053"/>
        <w:gridCol w:w="4309"/>
        <w:gridCol w:w="845"/>
        <w:gridCol w:w="1418"/>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序号</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项目</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技术参数</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数量</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材质</w:t>
            </w:r>
          </w:p>
        </w:tc>
        <w:tc>
          <w:tcPr>
            <w:tcW w:w="872"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水幕发生设备</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定制</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不锈钢</w:t>
            </w:r>
          </w:p>
        </w:tc>
        <w:tc>
          <w:tcPr>
            <w:tcW w:w="872" w:type="dxa"/>
            <w:vMerge w:val="restart"/>
            <w:tcBorders>
              <w:top w:val="nil"/>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2</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水幕浮筒</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定制</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不锈钢</w:t>
            </w:r>
          </w:p>
        </w:tc>
        <w:tc>
          <w:tcPr>
            <w:tcW w:w="8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3</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高压水泵</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2</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不锈钢</w:t>
            </w:r>
          </w:p>
        </w:tc>
        <w:tc>
          <w:tcPr>
            <w:tcW w:w="8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4</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防水电缆</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yz</w:t>
            </w:r>
          </w:p>
        </w:tc>
        <w:tc>
          <w:tcPr>
            <w:tcW w:w="8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5</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控制柜</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ggd</w:t>
            </w:r>
          </w:p>
        </w:tc>
        <w:tc>
          <w:tcPr>
            <w:tcW w:w="8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6</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投影机浮台</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5*6m定制浮台</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7</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软启动</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2</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8</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户外防水音箱</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防水等级达到IP67/环绕立体声</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72"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9</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激光投影机</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※1、标准亮度≥25000±2000流明（非叠加方式，符合ISO21118标准）；色彩亮度≥25000±2000流明（非叠加方式，符合SJ/T11346-2015国家标准和IDMS国际标准），</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※2、标准分辨率≥1920×1200（即WUXGA，仅指物理分辨率，非兼容分辨率）；</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※3、投影系统成像技术：3片DLP（即3DLP）或3片LCD（即3LCD）；</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4、对比度≥2500000:1（符合ISO21118标准）；</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※5、机身内置摄像头自动校正单屏色彩均匀度或拼接融合屏间色差；</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6、具有亮度恒定模式设置功能：恒定90%亮度输出不衰减典型时长≥5500小时、恒定70%亮度输出不衰减典型时长≥17000小时、恒定50%亮度输出不衰减典型时长≥37000小时、恒定30%亮度输出不衰减典型时长≥56000小时；</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※7、具有10组镜头位置存储功能，能将镜头移动、变焦、焦距和失真全部存储，再次需要时能一键自动回复镜头到10个任意记忆的参数；</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8、内置DDC缓冲器，能改进因使⽤ HDMI或DVI延长线连接造成的图像显⽰不正确问题；</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※9、具有折角投影功能（即单台能投影水平或竖直90度左右墙角的两边）；支持OSD旋转功能，能在侧立竖直投影时将菜单旋转90度方便操作；支持360度安装和侧立竖直投影功能；</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10、内置四画面分割投影功能；内置六轴（RGBCMY的色调\饱和度\亮度）色彩校正技术；支持双画面并列投影；</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11、具有失真 (图像变形) 校正功能，能校正近程变焦镜头聚焦屏幕中⼼导致的周围图像会变形、失焦问题；支持色彩均匀度校正和液晶板校准两种图像显示效果维护功能；内置信号源自动搜索和自动光圈功能；</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※12、内置4K增强功能，双倍分辨率投影4K图像；采用无机荧光轮；</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13、随机至少标配HDBaseT、DVI-D、HDMI、VGA、RGBHV接口；</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※14、通过国家强制检验并取得《中国国家强制性产品认证证书》（即CCC认证）；</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投标时必须提供原厂商出具的售后服务函确认原厂免费保修5年或20000小时（先到为准）并加盖厂商公章（提供原厂证明原件）；交货时必须提供原厂商出具的包含用户名称和全部交货机身序列号的供货证明函并加盖厂商公章，否则视为无合法来源拒收；</w:t>
            </w:r>
          </w:p>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※15、为了保证质量及售后服务，投影设备必须提供投影设备制造商（非代理商）针对此项目的项目授权书、质量及售后服务承诺函、制造商的营业执照复印件加盖公章。</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72"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10</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投影恒温防护箱</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恒温、恒湿，能在恶劣天气正常使用/智能化控制/实时启动保护投影机/含箱体、控制柜、特制透光玻璃/双通道供电系统，投影机供电和恒温箱供电独立，互不干扰/恒温箱配置多个传感器，监控不同温区信号，实现系统自动调节。</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72"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11</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光纤（含接收器，发射器）</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72"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12</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全彩激光灯</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15W</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72"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13</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灯光电缆</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72"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14</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灯光信号线</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72"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15</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户外全防水LED投光灯</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防水等级IP67/54颗*3W/额定功率：150W/220V/额定寿命：50000个小时/调光0-100%线性调光/通道：标准模式4个通道，扩展模式7个通道，主从同步控制模式，2个内置程序，自检模式/控制方式：国际标准DMX512信号，3芯接口</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40</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72"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16</w:t>
            </w:r>
          </w:p>
        </w:tc>
        <w:tc>
          <w:tcPr>
            <w:tcW w:w="2053"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服务器</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CPU：I7-7700</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内存：8G DDR4；</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硬盘：高速 SSD 120G;</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 xml:space="preserve">工作电压： 100~240V 50/60Hz </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 xml:space="preserve">工作温度： 30-70% </w:t>
            </w:r>
            <w:r>
              <w:rPr>
                <w:rFonts w:hint="eastAsia" w:ascii="仿宋" w:hAnsi="仿宋" w:eastAsia="仿宋" w:cs="仿宋"/>
                <w:sz w:val="30"/>
                <w:szCs w:val="30"/>
                <w:lang w:val="en-US" w:eastAsia="zh-CN" w:bidi="ar-SA"/>
              </w:rPr>
              <w:br w:type="textWrapping"/>
            </w:r>
            <w:r>
              <w:rPr>
                <w:rFonts w:hint="eastAsia" w:ascii="仿宋" w:hAnsi="仿宋" w:eastAsia="仿宋" w:cs="仿宋"/>
                <w:sz w:val="30"/>
                <w:szCs w:val="30"/>
                <w:lang w:val="en-US" w:eastAsia="zh-CN" w:bidi="ar-SA"/>
              </w:rPr>
              <w:t>其他接口： USB3.0×2 ；USB2.0×2 ；RJ45（10M/100M/1000M)×1；COM扩展口×1 ）</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c>
          <w:tcPr>
            <w:tcW w:w="872"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17</w:t>
            </w:r>
          </w:p>
        </w:tc>
        <w:tc>
          <w:tcPr>
            <w:tcW w:w="2053" w:type="dxa"/>
            <w:vMerge w:val="restart"/>
            <w:tcBorders>
              <w:top w:val="nil"/>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 xml:space="preserve">喷泉部分35M </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可调直流：用直流组合而成的矩阵犹如魔幻一般，水型可以组成波浪形状，也可以组成圆弧形状，还可以调成直线状等多种形状。</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9</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不锈钢</w:t>
            </w:r>
          </w:p>
        </w:tc>
        <w:tc>
          <w:tcPr>
            <w:tcW w:w="872" w:type="dxa"/>
            <w:vMerge w:val="restart"/>
            <w:tcBorders>
              <w:top w:val="nil"/>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bidi="ar-SA"/>
              </w:rPr>
            </w:pPr>
            <w:r>
              <w:rPr>
                <w:rFonts w:hint="eastAsia" w:ascii="仿宋" w:hAnsi="仿宋" w:eastAsia="仿宋" w:cs="仿宋"/>
                <w:sz w:val="30"/>
                <w:szCs w:val="30"/>
                <w:lang w:val="en-US"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18</w:t>
            </w:r>
          </w:p>
        </w:tc>
        <w:tc>
          <w:tcPr>
            <w:tcW w:w="2053"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万马奔腾：喷泉逐个喷水，使该水景整体上形成向特定方向移动的跑动效果</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80</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不锈钢</w:t>
            </w:r>
          </w:p>
        </w:tc>
        <w:tc>
          <w:tcPr>
            <w:tcW w:w="8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19</w:t>
            </w:r>
          </w:p>
        </w:tc>
        <w:tc>
          <w:tcPr>
            <w:tcW w:w="2053"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擎天玉柱：将水喷向空中，在宽阔的中心水面上形成一柱冲天的效果，最高可达30米，实际高度会根据现场情况进行调整。</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不锈钢</w:t>
            </w:r>
          </w:p>
        </w:tc>
        <w:tc>
          <w:tcPr>
            <w:tcW w:w="8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20</w:t>
            </w:r>
          </w:p>
        </w:tc>
        <w:tc>
          <w:tcPr>
            <w:tcW w:w="2053"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出水芙蓉：通过前后摇摆以及程序或变频的控制下，形成类似出水芙蓉的花型。</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38</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不锈钢</w:t>
            </w:r>
          </w:p>
        </w:tc>
        <w:tc>
          <w:tcPr>
            <w:tcW w:w="8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21</w:t>
            </w:r>
          </w:p>
        </w:tc>
        <w:tc>
          <w:tcPr>
            <w:tcW w:w="2053"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中流砥柱：位于喷泉浮筒的中心位置，是喷泉中喷水高度最高的水型，雄壮的水柱拔地而起，瞬间升到空中。</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1*2组</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不锈钢</w:t>
            </w:r>
          </w:p>
        </w:tc>
        <w:tc>
          <w:tcPr>
            <w:tcW w:w="8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22</w:t>
            </w:r>
          </w:p>
        </w:tc>
        <w:tc>
          <w:tcPr>
            <w:tcW w:w="2053"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彩虹映月：多个大型直喷喷头组合成彩虹状水形，可配合射灯与中心高喷相互组合。</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1*2组</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不锈钢</w:t>
            </w:r>
          </w:p>
        </w:tc>
        <w:tc>
          <w:tcPr>
            <w:tcW w:w="8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23</w:t>
            </w:r>
          </w:p>
        </w:tc>
        <w:tc>
          <w:tcPr>
            <w:tcW w:w="2053"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孔雀开屏：在程序或变频的控制下高低起伏变化，喷水造型如一只只孔雀在竞相开屏。</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13*5组</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不锈钢</w:t>
            </w:r>
          </w:p>
        </w:tc>
        <w:tc>
          <w:tcPr>
            <w:tcW w:w="8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24</w:t>
            </w:r>
          </w:p>
        </w:tc>
        <w:tc>
          <w:tcPr>
            <w:tcW w:w="2053"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特制花柱：根据景区实际环境进行设计与调整。</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1*2组</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不锈钢</w:t>
            </w:r>
          </w:p>
        </w:tc>
        <w:tc>
          <w:tcPr>
            <w:tcW w:w="872" w:type="dxa"/>
            <w:vMerge w:val="continue"/>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25</w:t>
            </w:r>
          </w:p>
        </w:tc>
        <w:tc>
          <w:tcPr>
            <w:tcW w:w="20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电脑</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联想.扬天M4900T I7-10700 8G 1T+256G 无驱 2G W10 21.5</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2台</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p>
        </w:tc>
        <w:tc>
          <w:tcPr>
            <w:tcW w:w="872"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26</w:t>
            </w:r>
          </w:p>
        </w:tc>
        <w:tc>
          <w:tcPr>
            <w:tcW w:w="20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格力空调</w:t>
            </w:r>
          </w:p>
        </w:tc>
        <w:tc>
          <w:tcPr>
            <w:tcW w:w="4309"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2匹挂式</w:t>
            </w:r>
          </w:p>
        </w:tc>
        <w:tc>
          <w:tcPr>
            <w:tcW w:w="845"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jc w:val="center"/>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1台</w:t>
            </w:r>
          </w:p>
        </w:tc>
        <w:tc>
          <w:tcPr>
            <w:tcW w:w="1418"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0" w:lineRule="atLeast"/>
              <w:ind w:left="0" w:leftChars="0"/>
              <w:textAlignment w:val="auto"/>
              <w:rPr>
                <w:rFonts w:hint="eastAsia" w:ascii="仿宋" w:hAnsi="仿宋" w:eastAsia="仿宋" w:cs="仿宋"/>
                <w:sz w:val="30"/>
                <w:szCs w:val="30"/>
                <w:lang w:val="en-US" w:eastAsia="zh-CN" w:bidi="ar-SA"/>
              </w:rPr>
            </w:pPr>
            <w:r>
              <w:rPr>
                <w:rFonts w:hint="eastAsia" w:ascii="仿宋" w:hAnsi="仿宋" w:eastAsia="仿宋" w:cs="仿宋"/>
                <w:sz w:val="30"/>
                <w:szCs w:val="30"/>
                <w:lang w:val="en-US" w:eastAsia="zh-CN" w:bidi="ar-SA"/>
              </w:rPr>
              <w:t>挂式</w:t>
            </w:r>
          </w:p>
        </w:tc>
        <w:tc>
          <w:tcPr>
            <w:tcW w:w="87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ind w:left="0" w:leftChars="0"/>
              <w:jc w:val="left"/>
              <w:textAlignment w:val="auto"/>
              <w:rPr>
                <w:rFonts w:hint="eastAsia" w:ascii="仿宋" w:hAnsi="仿宋" w:eastAsia="仿宋" w:cs="仿宋"/>
                <w:sz w:val="30"/>
                <w:szCs w:val="30"/>
                <w:lang w:val="en-US" w:eastAsia="zh-CN" w:bidi="ar-SA"/>
              </w:rPr>
            </w:pPr>
          </w:p>
        </w:tc>
      </w:tr>
    </w:tbl>
    <w:p>
      <w:pPr>
        <w:pStyle w:val="4"/>
        <w:keepNext w:val="0"/>
        <w:keepLines w:val="0"/>
        <w:pageBreakBefore w:val="0"/>
        <w:widowControl/>
        <w:numPr>
          <w:ilvl w:val="0"/>
          <w:numId w:val="3"/>
        </w:numPr>
        <w:suppressLineNumbers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重要事项</w:t>
      </w:r>
    </w:p>
    <w:p>
      <w:pPr>
        <w:keepNext w:val="0"/>
        <w:keepLines w:val="0"/>
        <w:pageBreakBefore w:val="0"/>
        <w:kinsoku/>
        <w:wordWrap/>
        <w:overflowPunct/>
        <w:topLinePunct w:val="0"/>
        <w:bidi w:val="0"/>
        <w:spacing w:line="0" w:lineRule="atLeast"/>
        <w:ind w:firstLine="640" w:firstLineChars="200"/>
        <w:jc w:val="left"/>
        <w:textAlignment w:val="auto"/>
        <w:rPr>
          <w:rFonts w:hint="default" w:ascii="黑体" w:hAnsi="黑体" w:eastAsia="黑体" w:cs="黑体"/>
          <w:sz w:val="32"/>
          <w:szCs w:val="32"/>
          <w:lang w:val="en-US" w:eastAsia="zh-CN"/>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供应商应派驻现场维保人员进行水幕播放现场保障工作，每晚进行设备巡查，保障正常播放；如果是设备故障不能正常播放需要维修超过3天的需提供代用设备，保障采购人的设备正常播放；如主要的投影机如果坏了，要无条件修理到位，维修时间不能超过5天，如超过规定时间的要说明原因，采购人将给予相对应的处罚（如造成严重后果，直至扣除履约保证金）。如出现故障拖延不处理的，采购人将给予一次性扣款5000元，并将给予相对应的处罚（如造成严重后果，直至扣除履约保证金）。供应商应驻现场维保人员随时在岗，如不在岗的单次1000元，并将给予相对应的处罚（如造成严重后果，直至扣除履约保证金）。</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三、商务条件</w:t>
      </w:r>
      <w:r>
        <w:rPr>
          <w:rStyle w:val="7"/>
          <w:rFonts w:hint="eastAsia" w:ascii="黑体" w:hAnsi="黑体" w:eastAsia="黑体" w:cs="黑体"/>
          <w:b w:val="0"/>
          <w:bCs/>
          <w:sz w:val="32"/>
          <w:szCs w:val="32"/>
        </w:rPr>
        <w:t>（以下内容不允许负偏离）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43" w:firstLineChars="200"/>
        <w:textAlignment w:val="auto"/>
        <w:rPr>
          <w:rStyle w:val="7"/>
          <w:rFonts w:hint="eastAsia" w:ascii="仿宋" w:hAnsi="仿宋" w:eastAsia="仿宋" w:cs="仿宋"/>
          <w:sz w:val="32"/>
          <w:szCs w:val="32"/>
        </w:rPr>
      </w:pPr>
      <w:r>
        <w:rPr>
          <w:rStyle w:val="7"/>
          <w:rFonts w:hint="eastAsia" w:ascii="仿宋" w:hAnsi="仿宋" w:eastAsia="仿宋" w:cs="仿宋"/>
          <w:sz w:val="32"/>
          <w:szCs w:val="32"/>
        </w:rPr>
        <w:t>包：1</w:t>
      </w:r>
    </w:p>
    <w:p>
      <w:pPr>
        <w:pStyle w:val="3"/>
        <w:pageBreakBefore w:val="0"/>
        <w:kinsoku/>
        <w:wordWrap/>
        <w:overflowPunct/>
        <w:topLinePunct w:val="0"/>
        <w:autoSpaceDE/>
        <w:autoSpaceDN/>
        <w:bidi w:val="0"/>
        <w:adjustRightInd/>
        <w:spacing w:beforeAutospacing="0" w:afterAutospacing="0" w:line="240" w:lineRule="auto"/>
        <w:ind w:left="0" w:leftChars="0"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Style w:val="7"/>
          <w:rFonts w:hint="eastAsia" w:ascii="仿宋" w:hAnsi="仿宋" w:eastAsia="仿宋" w:cs="仿宋"/>
          <w:sz w:val="32"/>
          <w:szCs w:val="32"/>
        </w:rPr>
        <w:t>1、交付地点：</w:t>
      </w:r>
      <w:r>
        <w:rPr>
          <w:rStyle w:val="7"/>
          <w:rFonts w:hint="eastAsia" w:ascii="仿宋" w:hAnsi="仿宋" w:eastAsia="仿宋" w:cs="仿宋"/>
          <w:b w:val="0"/>
          <w:bCs/>
          <w:sz w:val="32"/>
          <w:szCs w:val="32"/>
        </w:rPr>
        <w:t>莆田市湄洲岛湖石淉生态公园管理有限公司指定地点</w:t>
      </w:r>
      <w:r>
        <w:rPr>
          <w:rStyle w:val="7"/>
          <w:rFonts w:hint="eastAsia" w:ascii="仿宋" w:hAnsi="仿宋" w:eastAsia="仿宋" w:cs="仿宋"/>
          <w:sz w:val="32"/>
          <w:szCs w:val="32"/>
        </w:rPr>
        <w:br w:type="textWrapping"/>
      </w:r>
      <w:r>
        <w:rPr>
          <w:rStyle w:val="7"/>
          <w:rFonts w:hint="eastAsia" w:ascii="仿宋" w:hAnsi="仿宋" w:eastAsia="仿宋" w:cs="仿宋"/>
          <w:sz w:val="32"/>
          <w:szCs w:val="32"/>
          <w:lang w:val="en-US" w:eastAsia="zh-CN"/>
        </w:rPr>
        <w:t xml:space="preserve">    </w:t>
      </w:r>
      <w:r>
        <w:rPr>
          <w:rStyle w:val="7"/>
          <w:rFonts w:hint="eastAsia" w:ascii="仿宋" w:hAnsi="仿宋" w:eastAsia="仿宋" w:cs="仿宋"/>
          <w:sz w:val="32"/>
          <w:szCs w:val="32"/>
        </w:rPr>
        <w:t>2、交付时间：</w:t>
      </w:r>
      <w:r>
        <w:rPr>
          <w:rStyle w:val="7"/>
          <w:rFonts w:hint="eastAsia" w:ascii="仿宋" w:hAnsi="仿宋" w:eastAsia="仿宋" w:cs="仿宋"/>
          <w:b w:val="0"/>
          <w:bCs/>
          <w:sz w:val="32"/>
          <w:szCs w:val="32"/>
        </w:rPr>
        <w:t>合同签订后 (</w:t>
      </w:r>
      <w:r>
        <w:rPr>
          <w:rStyle w:val="7"/>
          <w:rFonts w:hint="eastAsia" w:ascii="仿宋" w:hAnsi="仿宋" w:eastAsia="仿宋" w:cs="仿宋"/>
          <w:b w:val="0"/>
          <w:bCs/>
          <w:sz w:val="32"/>
          <w:szCs w:val="32"/>
          <w:lang w:val="en-US" w:eastAsia="zh-CN"/>
        </w:rPr>
        <w:t>30</w:t>
      </w:r>
      <w:r>
        <w:rPr>
          <w:rStyle w:val="7"/>
          <w:rFonts w:hint="eastAsia" w:ascii="仿宋" w:hAnsi="仿宋" w:eastAsia="仿宋" w:cs="仿宋"/>
          <w:b w:val="0"/>
          <w:bCs/>
          <w:sz w:val="32"/>
          <w:szCs w:val="32"/>
        </w:rPr>
        <w:t>) 天内</w:t>
      </w:r>
      <w:r>
        <w:rPr>
          <w:rStyle w:val="7"/>
          <w:rFonts w:hint="eastAsia" w:ascii="仿宋" w:hAnsi="仿宋" w:eastAsia="仿宋" w:cs="仿宋"/>
          <w:b w:val="0"/>
          <w:bCs/>
          <w:sz w:val="32"/>
          <w:szCs w:val="32"/>
          <w:lang w:val="en-US" w:eastAsia="zh-CN"/>
        </w:rPr>
        <w:t>完成</w:t>
      </w:r>
      <w:r>
        <w:rPr>
          <w:rStyle w:val="7"/>
          <w:rFonts w:hint="eastAsia" w:ascii="仿宋" w:hAnsi="仿宋" w:eastAsia="仿宋" w:cs="仿宋"/>
          <w:sz w:val="32"/>
          <w:szCs w:val="32"/>
        </w:rPr>
        <w:br w:type="textWrapping"/>
      </w:r>
      <w:r>
        <w:rPr>
          <w:rStyle w:val="7"/>
          <w:rFonts w:hint="eastAsia" w:ascii="仿宋" w:hAnsi="仿宋" w:eastAsia="仿宋" w:cs="仿宋"/>
          <w:sz w:val="32"/>
          <w:szCs w:val="32"/>
          <w:lang w:val="en-US" w:eastAsia="zh-CN"/>
        </w:rPr>
        <w:t xml:space="preserve">    </w:t>
      </w:r>
      <w:r>
        <w:rPr>
          <w:rStyle w:val="7"/>
          <w:rFonts w:hint="eastAsia" w:ascii="仿宋" w:hAnsi="仿宋" w:eastAsia="仿宋" w:cs="仿宋"/>
          <w:sz w:val="32"/>
          <w:szCs w:val="32"/>
        </w:rPr>
        <w:t>3、交付条件：</w:t>
      </w:r>
      <w:r>
        <w:rPr>
          <w:rStyle w:val="7"/>
          <w:rFonts w:hint="eastAsia" w:ascii="仿宋" w:hAnsi="仿宋" w:eastAsia="仿宋" w:cs="仿宋"/>
          <w:b w:val="0"/>
          <w:bCs/>
          <w:sz w:val="32"/>
          <w:szCs w:val="32"/>
        </w:rPr>
        <w:t>验收合格</w:t>
      </w:r>
      <w:r>
        <w:rPr>
          <w:rStyle w:val="7"/>
          <w:rFonts w:hint="eastAsia" w:ascii="仿宋" w:hAnsi="仿宋" w:eastAsia="仿宋" w:cs="仿宋"/>
          <w:sz w:val="32"/>
          <w:szCs w:val="32"/>
        </w:rPr>
        <w:br w:type="textWrapping"/>
      </w:r>
      <w:r>
        <w:rPr>
          <w:rStyle w:val="7"/>
          <w:rFonts w:hint="eastAsia" w:ascii="仿宋" w:hAnsi="仿宋" w:eastAsia="仿宋" w:cs="仿宋"/>
          <w:sz w:val="32"/>
          <w:szCs w:val="32"/>
          <w:lang w:val="en-US" w:eastAsia="zh-CN"/>
        </w:rPr>
        <w:t xml:space="preserve">    </w:t>
      </w:r>
      <w:r>
        <w:rPr>
          <w:rStyle w:val="7"/>
          <w:rFonts w:hint="eastAsia" w:ascii="仿宋" w:hAnsi="仿宋" w:eastAsia="仿宋" w:cs="仿宋"/>
          <w:sz w:val="32"/>
          <w:szCs w:val="32"/>
        </w:rPr>
        <w:t>4、是否收取履约保证金：</w:t>
      </w:r>
      <w:r>
        <w:rPr>
          <w:rStyle w:val="7"/>
          <w:rFonts w:hint="eastAsia" w:ascii="仿宋" w:hAnsi="仿宋" w:eastAsia="仿宋" w:cs="仿宋"/>
          <w:b w:val="0"/>
          <w:bCs/>
          <w:sz w:val="32"/>
          <w:szCs w:val="32"/>
          <w:lang w:eastAsia="zh-CN"/>
        </w:rPr>
        <w:t>是，</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须</w:t>
      </w:r>
      <w:r>
        <w:rPr>
          <w:rFonts w:hint="eastAsia" w:ascii="仿宋" w:hAnsi="仿宋" w:eastAsia="仿宋" w:cs="仿宋"/>
          <w:color w:val="000000" w:themeColor="text1"/>
          <w:sz w:val="32"/>
          <w:szCs w:val="32"/>
          <w:lang w:eastAsia="zh-CN"/>
          <w14:textFill>
            <w14:solidFill>
              <w14:schemeClr w14:val="tx1"/>
            </w14:solidFill>
          </w14:textFill>
        </w:rPr>
        <w:t>在合同签订前向采购人缴纳合同价的</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为</w:t>
      </w:r>
      <w:r>
        <w:rPr>
          <w:rFonts w:hint="eastAsia" w:ascii="仿宋" w:hAnsi="仿宋" w:eastAsia="仿宋" w:cs="仿宋"/>
          <w:color w:val="000000" w:themeColor="text1"/>
          <w:sz w:val="32"/>
          <w:szCs w:val="32"/>
          <w14:textFill>
            <w14:solidFill>
              <w14:schemeClr w14:val="tx1"/>
            </w14:solidFill>
          </w14:textFill>
        </w:rPr>
        <w:t>履约保证金。在合同期内，</w:t>
      </w:r>
      <w:r>
        <w:rPr>
          <w:rFonts w:hint="eastAsia" w:ascii="仿宋" w:hAnsi="仿宋" w:eastAsia="仿宋" w:cs="仿宋"/>
          <w:color w:val="000000" w:themeColor="text1"/>
          <w:sz w:val="32"/>
          <w:szCs w:val="32"/>
          <w:lang w:eastAsia="zh-CN"/>
          <w14:textFill>
            <w14:solidFill>
              <w14:schemeClr w14:val="tx1"/>
            </w14:solidFill>
          </w14:textFill>
        </w:rPr>
        <w:t>供应商</w:t>
      </w:r>
      <w:r>
        <w:rPr>
          <w:rFonts w:hint="eastAsia" w:ascii="仿宋" w:hAnsi="仿宋" w:eastAsia="仿宋" w:cs="仿宋"/>
          <w:color w:val="000000" w:themeColor="text1"/>
          <w:sz w:val="32"/>
          <w:szCs w:val="32"/>
          <w14:textFill>
            <w14:solidFill>
              <w14:schemeClr w14:val="tx1"/>
            </w14:solidFill>
          </w14:textFill>
        </w:rPr>
        <w:t>未出现违约情形及</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利益受损的情况下，履约保证金在3年维修合同到期并通过</w:t>
      </w:r>
      <w:r>
        <w:rPr>
          <w:rFonts w:hint="eastAsia" w:ascii="仿宋" w:hAnsi="仿宋" w:eastAsia="仿宋" w:cs="仿宋"/>
          <w:color w:val="000000" w:themeColor="text1"/>
          <w:sz w:val="32"/>
          <w:szCs w:val="32"/>
          <w:lang w:eastAsia="zh-CN"/>
          <w14:textFill>
            <w14:solidFill>
              <w14:schemeClr w14:val="tx1"/>
            </w14:solidFill>
          </w14:textFill>
        </w:rPr>
        <w:t>采购人</w:t>
      </w:r>
      <w:r>
        <w:rPr>
          <w:rFonts w:hint="eastAsia" w:ascii="仿宋" w:hAnsi="仿宋" w:eastAsia="仿宋" w:cs="仿宋"/>
          <w:color w:val="000000" w:themeColor="text1"/>
          <w:sz w:val="32"/>
          <w:szCs w:val="32"/>
          <w14:textFill>
            <w14:solidFill>
              <w14:schemeClr w14:val="tx1"/>
            </w14:solidFill>
          </w14:textFill>
        </w:rPr>
        <w:t>验收时无息退还。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firstLine="643" w:firstLineChars="200"/>
        <w:textAlignment w:val="auto"/>
        <w:rPr>
          <w:rFonts w:hint="eastAsia" w:ascii="仿宋" w:hAnsi="仿宋" w:eastAsia="仿宋" w:cs="仿宋"/>
          <w:sz w:val="32"/>
          <w:szCs w:val="32"/>
        </w:rPr>
      </w:pPr>
      <w:r>
        <w:rPr>
          <w:rStyle w:val="7"/>
          <w:rFonts w:hint="eastAsia" w:ascii="仿宋" w:hAnsi="仿宋" w:eastAsia="仿宋" w:cs="仿宋"/>
          <w:sz w:val="32"/>
          <w:szCs w:val="32"/>
        </w:rPr>
        <w:t>5、是否邀请投标人参与验收：</w:t>
      </w:r>
      <w:r>
        <w:rPr>
          <w:rStyle w:val="7"/>
          <w:rFonts w:hint="eastAsia" w:ascii="仿宋" w:hAnsi="仿宋" w:eastAsia="仿宋" w:cs="仿宋"/>
          <w:b w:val="0"/>
          <w:bCs/>
          <w:sz w:val="32"/>
          <w:szCs w:val="32"/>
        </w:rPr>
        <w:t>否</w:t>
      </w:r>
      <w:r>
        <w:rPr>
          <w:rStyle w:val="7"/>
          <w:rFonts w:hint="eastAsia" w:ascii="仿宋" w:hAnsi="仿宋" w:eastAsia="仿宋" w:cs="仿宋"/>
          <w:sz w:val="32"/>
          <w:szCs w:val="32"/>
        </w:rPr>
        <w:br w:type="textWrapping"/>
      </w:r>
      <w:r>
        <w:rPr>
          <w:rStyle w:val="7"/>
          <w:rFonts w:hint="eastAsia" w:ascii="仿宋" w:hAnsi="仿宋" w:eastAsia="仿宋" w:cs="仿宋"/>
          <w:sz w:val="32"/>
          <w:szCs w:val="32"/>
          <w:lang w:val="en-US" w:eastAsia="zh-CN"/>
        </w:rPr>
        <w:t xml:space="preserve">    </w:t>
      </w:r>
      <w:r>
        <w:rPr>
          <w:rStyle w:val="7"/>
          <w:rFonts w:hint="eastAsia" w:ascii="仿宋" w:hAnsi="仿宋" w:eastAsia="仿宋" w:cs="仿宋"/>
          <w:sz w:val="32"/>
          <w:szCs w:val="32"/>
        </w:rPr>
        <w:t>6、验收方式数据表格</w:t>
      </w:r>
    </w:p>
    <w:tbl>
      <w:tblPr>
        <w:tblStyle w:val="5"/>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52"/>
        <w:gridCol w:w="70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按相关要求验收</w:t>
            </w:r>
          </w:p>
        </w:tc>
      </w:tr>
    </w:tbl>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firstLine="643" w:firstLineChars="200"/>
        <w:jc w:val="left"/>
        <w:textAlignment w:val="auto"/>
        <w:rPr>
          <w:rFonts w:hint="eastAsia" w:ascii="仿宋" w:hAnsi="仿宋" w:eastAsia="仿宋" w:cs="仿宋"/>
          <w:sz w:val="32"/>
          <w:szCs w:val="32"/>
        </w:rPr>
      </w:pPr>
      <w:r>
        <w:rPr>
          <w:rStyle w:val="7"/>
          <w:rFonts w:hint="eastAsia" w:ascii="仿宋" w:hAnsi="仿宋" w:eastAsia="仿宋" w:cs="仿宋"/>
          <w:kern w:val="0"/>
          <w:sz w:val="32"/>
          <w:szCs w:val="32"/>
          <w:lang w:val="en-US" w:eastAsia="zh-CN" w:bidi="ar"/>
        </w:rPr>
        <w:t>7、支付方式数据表格</w:t>
      </w:r>
    </w:p>
    <w:tbl>
      <w:tblPr>
        <w:tblStyle w:val="5"/>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51"/>
        <w:gridCol w:w="1751"/>
        <w:gridCol w:w="52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99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支付期次</w:t>
            </w:r>
          </w:p>
        </w:tc>
        <w:tc>
          <w:tcPr>
            <w:tcW w:w="999"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jc w:val="left"/>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12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jc w:val="left"/>
              <w:textAlignment w:val="auto"/>
              <w:rPr>
                <w:rFonts w:hint="eastAsia" w:ascii="仿宋" w:hAnsi="仿宋" w:eastAsia="仿宋" w:cs="仿宋"/>
                <w:sz w:val="32"/>
                <w:szCs w:val="32"/>
                <w:lang w:val="en-US"/>
              </w:rPr>
            </w:pPr>
            <w:r>
              <w:rPr>
                <w:rFonts w:hint="eastAsia" w:ascii="仿宋" w:hAnsi="仿宋" w:eastAsia="仿宋" w:cs="仿宋"/>
                <w:kern w:val="0"/>
                <w:sz w:val="32"/>
                <w:szCs w:val="32"/>
                <w:lang w:val="en-US" w:eastAsia="zh-CN" w:bidi="ar"/>
              </w:rPr>
              <w:t>100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货到安装施工并验收合格后每季度支付一次季度服务费（3年分12期）。</w:t>
            </w:r>
          </w:p>
        </w:tc>
      </w:tr>
    </w:tbl>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四、其他事项</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1、除文件另有规定外，若出现有关法律、法规和规章有强制性规定但文件未列明的情形，则投标人应按照有关法律、法规和规章强制性规定执行。</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240" w:lineRule="auto"/>
        <w:ind w:left="0" w:leftChars="0"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sz w:val="32"/>
          <w:szCs w:val="32"/>
        </w:rPr>
        <w:t>2、本文件未明确的其它约定事项或条款，待采购人与中标供应商签订合同时，由双方协商订立。</w:t>
      </w:r>
    </w:p>
    <w:p>
      <w:bookmarkStart w:id="0" w:name="_GoBack"/>
      <w:bookmarkEnd w:id="0"/>
    </w:p>
    <w:sectPr>
      <w:pgSz w:w="11906" w:h="16838"/>
      <w:pgMar w:top="1440" w:right="1587"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74E19D"/>
    <w:multiLevelType w:val="singleLevel"/>
    <w:tmpl w:val="8E74E19D"/>
    <w:lvl w:ilvl="0" w:tentative="0">
      <w:start w:val="6"/>
      <w:numFmt w:val="chineseCounting"/>
      <w:suff w:val="nothing"/>
      <w:lvlText w:val="（%1）"/>
      <w:lvlJc w:val="left"/>
      <w:rPr>
        <w:rFonts w:hint="eastAsia"/>
      </w:rPr>
    </w:lvl>
  </w:abstractNum>
  <w:abstractNum w:abstractNumId="1">
    <w:nsid w:val="ECD1C67C"/>
    <w:multiLevelType w:val="singleLevel"/>
    <w:tmpl w:val="ECD1C67C"/>
    <w:lvl w:ilvl="0" w:tentative="0">
      <w:start w:val="1"/>
      <w:numFmt w:val="decimal"/>
      <w:suff w:val="nothing"/>
      <w:lvlText w:val="%1、"/>
      <w:lvlJc w:val="left"/>
    </w:lvl>
  </w:abstractNum>
  <w:abstractNum w:abstractNumId="2">
    <w:nsid w:val="490051ED"/>
    <w:multiLevelType w:val="singleLevel"/>
    <w:tmpl w:val="490051ED"/>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9C2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220" w:beforeLines="0" w:after="210" w:afterLines="0" w:line="360" w:lineRule="auto"/>
      <w:jc w:val="center"/>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pPr>
    <w:rPr>
      <w:rFonts w:ascii="Calibri" w:hAnsi="Calibri" w:eastAsia="宋体" w:cs="Times New Roman"/>
      <w:sz w:val="21"/>
      <w:szCs w:val="21"/>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2021-09-22T03:30:21Z</dcterms:created>
  <dc:creator>Administrator</dc:creator>
  <cp:lastModifiedBy>Administrator</cp:lastModifiedBy>
  <dcterms:modified xsi:type="dcterms:W3CDTF">2021-09-22T03:30:28Z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A490CD69796E4F0599F8DB226F2C2FB7</vt:lpwstr>
  </property>
</Properties>
</file>